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b/>
          <w:sz w:val="36"/>
          <w:szCs w:val="36"/>
        </w:rPr>
      </w:pPr>
      <w:r>
        <w:rPr>
          <w:rFonts w:hint="eastAsia" w:ascii="华文中宋" w:hAnsi="华文中宋" w:eastAsia="华文中宋"/>
          <w:b/>
          <w:sz w:val="36"/>
          <w:szCs w:val="36"/>
        </w:rPr>
        <w:t>关于公示20</w:t>
      </w:r>
      <w:r>
        <w:rPr>
          <w:rFonts w:ascii="华文中宋" w:hAnsi="华文中宋" w:eastAsia="华文中宋"/>
          <w:b/>
          <w:sz w:val="36"/>
          <w:szCs w:val="36"/>
        </w:rPr>
        <w:t>22</w:t>
      </w:r>
      <w:r>
        <w:rPr>
          <w:rFonts w:hint="eastAsia" w:ascii="华文中宋" w:hAnsi="华文中宋" w:eastAsia="华文中宋"/>
          <w:b/>
          <w:sz w:val="36"/>
          <w:szCs w:val="36"/>
        </w:rPr>
        <w:t>年全国大学生统计建模大赛</w:t>
      </w:r>
    </w:p>
    <w:p>
      <w:pPr>
        <w:spacing w:line="600" w:lineRule="exact"/>
        <w:jc w:val="center"/>
        <w:rPr>
          <w:rFonts w:ascii="华文中宋" w:hAnsi="华文中宋" w:eastAsia="华文中宋"/>
          <w:b/>
          <w:sz w:val="36"/>
          <w:szCs w:val="36"/>
        </w:rPr>
      </w:pPr>
      <w:r>
        <w:rPr>
          <w:rFonts w:hint="eastAsia" w:ascii="华文中宋" w:hAnsi="华文中宋" w:eastAsia="华文中宋"/>
          <w:b/>
          <w:sz w:val="36"/>
          <w:szCs w:val="36"/>
        </w:rPr>
        <w:t xml:space="preserve">北京交通大学本科生校内选拔赛评审结果的通知 </w:t>
      </w:r>
    </w:p>
    <w:p>
      <w:pPr>
        <w:spacing w:line="600" w:lineRule="exact"/>
        <w:jc w:val="center"/>
        <w:rPr>
          <w:rFonts w:ascii="方正小标宋简体" w:eastAsia="方正小标宋简体"/>
          <w:b/>
          <w:sz w:val="44"/>
          <w:szCs w:val="44"/>
        </w:rPr>
      </w:pPr>
      <w:r>
        <w:rPr>
          <w:rFonts w:hint="eastAsia" w:ascii="方正小标宋简体" w:eastAsia="方正小标宋简体"/>
          <w:b/>
          <w:sz w:val="44"/>
          <w:szCs w:val="44"/>
        </w:rPr>
        <w:t xml:space="preserve"> </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由北京交通大学大学生统计建模竞赛组委会主办、数学与统计学院承办的20</w:t>
      </w:r>
      <w:r>
        <w:rPr>
          <w:rFonts w:ascii="仿宋_GB2312" w:hAnsi="宋体" w:eastAsia="仿宋_GB2312"/>
          <w:sz w:val="28"/>
          <w:szCs w:val="28"/>
        </w:rPr>
        <w:t>22</w:t>
      </w:r>
      <w:r>
        <w:rPr>
          <w:rFonts w:hint="eastAsia" w:ascii="仿宋_GB2312" w:hAnsi="宋体" w:eastAsia="仿宋_GB2312"/>
          <w:sz w:val="28"/>
          <w:szCs w:val="28"/>
        </w:rPr>
        <w:t>年全国大学生统计建模大赛北京交通大学本科生校内选拔赛评审工作已经结束。本次大赛全校共有3</w:t>
      </w:r>
      <w:r>
        <w:rPr>
          <w:rFonts w:ascii="仿宋_GB2312" w:hAnsi="宋体" w:eastAsia="仿宋_GB2312"/>
          <w:sz w:val="28"/>
          <w:szCs w:val="28"/>
        </w:rPr>
        <w:t>6</w:t>
      </w:r>
      <w:r>
        <w:rPr>
          <w:rFonts w:hint="eastAsia" w:ascii="仿宋_GB2312" w:hAnsi="宋体" w:eastAsia="仿宋_GB2312"/>
          <w:sz w:val="28"/>
          <w:szCs w:val="28"/>
        </w:rPr>
        <w:t>队(</w:t>
      </w:r>
      <w:r>
        <w:rPr>
          <w:rFonts w:ascii="仿宋_GB2312" w:hAnsi="宋体" w:eastAsia="仿宋_GB2312"/>
          <w:sz w:val="28"/>
          <w:szCs w:val="28"/>
        </w:rPr>
        <w:t>108</w:t>
      </w:r>
      <w:r>
        <w:rPr>
          <w:rFonts w:hint="eastAsia" w:ascii="仿宋_GB2312" w:hAnsi="宋体" w:eastAsia="仿宋_GB2312"/>
          <w:sz w:val="28"/>
          <w:szCs w:val="28"/>
        </w:rPr>
        <w:t>名学生)报名参赛。经大赛评审专家组评审、组委会审定，共评选出2</w:t>
      </w:r>
      <w:r>
        <w:rPr>
          <w:rFonts w:ascii="仿宋_GB2312" w:hAnsi="宋体" w:eastAsia="仿宋_GB2312"/>
          <w:sz w:val="28"/>
          <w:szCs w:val="28"/>
        </w:rPr>
        <w:t>2</w:t>
      </w:r>
      <w:r>
        <w:rPr>
          <w:rFonts w:hint="eastAsia" w:ascii="仿宋_GB2312" w:hAnsi="宋体" w:eastAsia="仿宋_GB2312"/>
          <w:sz w:val="28"/>
          <w:szCs w:val="28"/>
        </w:rPr>
        <w:t>项获奖论文，其中：一等奖</w:t>
      </w:r>
      <w:r>
        <w:rPr>
          <w:rFonts w:ascii="仿宋_GB2312" w:hAnsi="宋体" w:eastAsia="仿宋_GB2312"/>
          <w:sz w:val="28"/>
          <w:szCs w:val="28"/>
        </w:rPr>
        <w:t>4</w:t>
      </w:r>
      <w:r>
        <w:rPr>
          <w:rFonts w:hint="eastAsia" w:ascii="仿宋_GB2312" w:hAnsi="宋体" w:eastAsia="仿宋_GB2312"/>
          <w:sz w:val="28"/>
          <w:szCs w:val="28"/>
        </w:rPr>
        <w:t>项(</w:t>
      </w:r>
      <w:r>
        <w:rPr>
          <w:rFonts w:ascii="仿宋_GB2312" w:hAnsi="宋体" w:eastAsia="仿宋_GB2312"/>
          <w:sz w:val="28"/>
          <w:szCs w:val="28"/>
        </w:rPr>
        <w:t>12</w:t>
      </w:r>
      <w:r>
        <w:rPr>
          <w:rFonts w:hint="eastAsia" w:ascii="仿宋_GB2312" w:hAnsi="宋体" w:eastAsia="仿宋_GB2312"/>
          <w:sz w:val="28"/>
          <w:szCs w:val="28"/>
        </w:rPr>
        <w:t>人)、二等奖7项(</w:t>
      </w:r>
      <w:r>
        <w:rPr>
          <w:rFonts w:ascii="仿宋_GB2312" w:hAnsi="宋体" w:eastAsia="仿宋_GB2312"/>
          <w:sz w:val="28"/>
          <w:szCs w:val="28"/>
        </w:rPr>
        <w:t>21</w:t>
      </w:r>
      <w:r>
        <w:rPr>
          <w:rFonts w:hint="eastAsia" w:ascii="仿宋_GB2312" w:hAnsi="宋体" w:eastAsia="仿宋_GB2312"/>
          <w:sz w:val="28"/>
          <w:szCs w:val="28"/>
        </w:rPr>
        <w:t>人)、三等奖</w:t>
      </w:r>
      <w:r>
        <w:rPr>
          <w:rFonts w:ascii="仿宋_GB2312" w:hAnsi="宋体" w:eastAsia="仿宋_GB2312"/>
          <w:sz w:val="28"/>
          <w:szCs w:val="28"/>
        </w:rPr>
        <w:t>11</w:t>
      </w:r>
      <w:r>
        <w:rPr>
          <w:rFonts w:hint="eastAsia" w:ascii="仿宋_GB2312" w:hAnsi="宋体" w:eastAsia="仿宋_GB2312"/>
          <w:sz w:val="28"/>
          <w:szCs w:val="28"/>
        </w:rPr>
        <w:t>项(</w:t>
      </w:r>
      <w:r>
        <w:rPr>
          <w:rFonts w:ascii="仿宋_GB2312" w:hAnsi="宋体" w:eastAsia="仿宋_GB2312"/>
          <w:sz w:val="28"/>
          <w:szCs w:val="28"/>
        </w:rPr>
        <w:t>33</w:t>
      </w:r>
      <w:r>
        <w:rPr>
          <w:rFonts w:hint="eastAsia" w:ascii="仿宋_GB2312" w:hAnsi="宋体" w:eastAsia="仿宋_GB2312"/>
          <w:sz w:val="28"/>
          <w:szCs w:val="28"/>
        </w:rPr>
        <w:t>人)，获奖名单详见附件。现将评审结果予以公示。</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公示时间为20</w:t>
      </w:r>
      <w:r>
        <w:rPr>
          <w:rFonts w:ascii="仿宋_GB2312" w:hAnsi="宋体" w:eastAsia="仿宋_GB2312"/>
          <w:sz w:val="28"/>
          <w:szCs w:val="28"/>
        </w:rPr>
        <w:t>22</w:t>
      </w:r>
      <w:r>
        <w:rPr>
          <w:rFonts w:hint="eastAsia" w:ascii="仿宋_GB2312" w:hAnsi="宋体" w:eastAsia="仿宋_GB2312"/>
          <w:sz w:val="28"/>
          <w:szCs w:val="28"/>
        </w:rPr>
        <w:t>年</w:t>
      </w:r>
      <w:r>
        <w:rPr>
          <w:rFonts w:ascii="仿宋_GB2312" w:hAnsi="宋体" w:eastAsia="仿宋_GB2312"/>
          <w:sz w:val="28"/>
          <w:szCs w:val="28"/>
        </w:rPr>
        <w:t>5</w:t>
      </w:r>
      <w:r>
        <w:rPr>
          <w:rFonts w:hint="eastAsia" w:ascii="仿宋_GB2312" w:hAnsi="宋体" w:eastAsia="仿宋_GB2312"/>
          <w:sz w:val="28"/>
          <w:szCs w:val="28"/>
        </w:rPr>
        <w:t>月</w:t>
      </w:r>
      <w:r>
        <w:rPr>
          <w:rFonts w:ascii="仿宋_GB2312" w:hAnsi="宋体" w:eastAsia="仿宋_GB2312"/>
          <w:sz w:val="28"/>
          <w:szCs w:val="28"/>
        </w:rPr>
        <w:t>13</w:t>
      </w:r>
      <w:r>
        <w:rPr>
          <w:rFonts w:hint="eastAsia" w:ascii="仿宋_GB2312" w:hAnsi="宋体" w:eastAsia="仿宋_GB2312"/>
          <w:sz w:val="28"/>
          <w:szCs w:val="28"/>
        </w:rPr>
        <w:t>日至5月</w:t>
      </w:r>
      <w:r>
        <w:rPr>
          <w:rFonts w:ascii="仿宋_GB2312" w:hAnsi="宋体" w:eastAsia="仿宋_GB2312"/>
          <w:sz w:val="28"/>
          <w:szCs w:val="28"/>
        </w:rPr>
        <w:t>1</w:t>
      </w:r>
      <w:r>
        <w:rPr>
          <w:rFonts w:hint="eastAsia" w:ascii="仿宋_GB2312" w:hAnsi="宋体" w:eastAsia="仿宋_GB2312"/>
          <w:sz w:val="28"/>
          <w:szCs w:val="28"/>
          <w:lang w:val="en-US" w:eastAsia="zh-CN"/>
        </w:rPr>
        <w:t>9</w:t>
      </w:r>
      <w:r>
        <w:rPr>
          <w:rFonts w:hint="eastAsia" w:ascii="仿宋_GB2312" w:hAnsi="宋体" w:eastAsia="仿宋_GB2312"/>
          <w:sz w:val="28"/>
          <w:szCs w:val="28"/>
        </w:rPr>
        <w:t>日，如有意见和建议，敬请您署真实姓名并以书面形式与我们联系，我们将认真听取，妥善处理。</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联 系 人：孙智宇</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电    话：5168</w:t>
      </w:r>
      <w:r>
        <w:rPr>
          <w:rFonts w:ascii="仿宋_GB2312" w:hAnsi="宋体" w:eastAsia="仿宋_GB2312"/>
          <w:sz w:val="28"/>
          <w:szCs w:val="28"/>
        </w:rPr>
        <w:t>8007</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邮箱地址：</w:t>
      </w:r>
      <w:r>
        <w:fldChar w:fldCharType="begin"/>
      </w:r>
      <w:r>
        <w:instrText xml:space="preserve"> HYPERLINK "mailto:szy@bjtu.edu.cn" </w:instrText>
      </w:r>
      <w:r>
        <w:fldChar w:fldCharType="separate"/>
      </w:r>
      <w:r>
        <w:rPr>
          <w:rStyle w:val="11"/>
          <w:rFonts w:hAnsi="宋体"/>
          <w:sz w:val="28"/>
          <w:szCs w:val="28"/>
        </w:rPr>
        <w:t>szy</w:t>
      </w:r>
      <w:r>
        <w:rPr>
          <w:rStyle w:val="11"/>
          <w:rFonts w:hint="eastAsia" w:hAnsi="宋体"/>
          <w:sz w:val="28"/>
          <w:szCs w:val="28"/>
        </w:rPr>
        <w:t>@bjtu.edu.cn</w:t>
      </w:r>
      <w:r>
        <w:rPr>
          <w:rStyle w:val="11"/>
          <w:rFonts w:hint="eastAsia" w:hAnsi="宋体"/>
          <w:sz w:val="28"/>
          <w:szCs w:val="28"/>
        </w:rPr>
        <w:fldChar w:fldCharType="end"/>
      </w:r>
    </w:p>
    <w:p>
      <w:pPr>
        <w:spacing w:line="360" w:lineRule="auto"/>
        <w:ind w:firstLine="560" w:firstLineChars="200"/>
        <w:rPr>
          <w:rFonts w:ascii="仿宋_GB2312" w:hAnsi="宋体" w:eastAsia="仿宋_GB2312"/>
          <w:sz w:val="28"/>
          <w:szCs w:val="28"/>
        </w:rPr>
      </w:pPr>
    </w:p>
    <w:p>
      <w:pPr>
        <w:spacing w:line="360" w:lineRule="auto"/>
        <w:ind w:firstLine="420" w:firstLineChars="150"/>
        <w:rPr>
          <w:rFonts w:ascii="仿宋_GB2312" w:hAnsi="宋体" w:eastAsia="仿宋_GB2312"/>
          <w:sz w:val="28"/>
          <w:szCs w:val="28"/>
        </w:rPr>
      </w:pPr>
      <w:r>
        <w:rPr>
          <w:rFonts w:hint="eastAsia" w:ascii="仿宋_GB2312" w:hAnsi="宋体" w:eastAsia="仿宋_GB2312"/>
          <w:sz w:val="28"/>
          <w:szCs w:val="28"/>
        </w:rPr>
        <w:t>附件：20</w:t>
      </w:r>
      <w:r>
        <w:rPr>
          <w:rFonts w:ascii="仿宋_GB2312" w:hAnsi="宋体" w:eastAsia="仿宋_GB2312"/>
          <w:sz w:val="28"/>
          <w:szCs w:val="28"/>
        </w:rPr>
        <w:t>22</w:t>
      </w:r>
      <w:r>
        <w:rPr>
          <w:rFonts w:hint="eastAsia" w:ascii="仿宋_GB2312" w:hAnsi="宋体" w:eastAsia="仿宋_GB2312"/>
          <w:sz w:val="28"/>
          <w:szCs w:val="28"/>
        </w:rPr>
        <w:t>年全国大学生统计建模大赛北京交通大学校内选拔赛获奖名单</w:t>
      </w:r>
    </w:p>
    <w:p>
      <w:pPr>
        <w:ind w:firstLine="420" w:firstLineChars="150"/>
        <w:rPr>
          <w:rFonts w:ascii="仿宋_GB2312" w:hAnsi="宋体" w:eastAsia="仿宋_GB2312"/>
          <w:sz w:val="28"/>
          <w:szCs w:val="28"/>
        </w:rPr>
      </w:pPr>
    </w:p>
    <w:p>
      <w:pPr>
        <w:ind w:firstLine="420" w:firstLineChars="150"/>
        <w:rPr>
          <w:rFonts w:ascii="仿宋_GB2312" w:hAnsi="宋体" w:eastAsia="仿宋_GB2312"/>
          <w:sz w:val="28"/>
          <w:szCs w:val="28"/>
        </w:rPr>
      </w:pPr>
    </w:p>
    <w:p>
      <w:pPr>
        <w:ind w:firstLine="420" w:firstLineChars="150"/>
        <w:rPr>
          <w:rFonts w:ascii="仿宋_GB2312" w:hAnsi="宋体" w:eastAsia="仿宋_GB2312"/>
          <w:sz w:val="28"/>
          <w:szCs w:val="28"/>
        </w:rPr>
      </w:pPr>
    </w:p>
    <w:p>
      <w:pPr>
        <w:spacing w:line="600" w:lineRule="exact"/>
        <w:ind w:firstLine="5600" w:firstLineChars="2000"/>
        <w:jc w:val="right"/>
        <w:rPr>
          <w:rFonts w:ascii="仿宋_GB2312" w:hAnsi="宋体" w:eastAsia="仿宋_GB2312"/>
          <w:sz w:val="28"/>
          <w:szCs w:val="28"/>
        </w:rPr>
      </w:pPr>
      <w:r>
        <w:rPr>
          <w:rFonts w:hint="eastAsia" w:ascii="仿宋_GB2312" w:hAnsi="宋体" w:eastAsia="仿宋_GB2312"/>
          <w:sz w:val="28"/>
          <w:szCs w:val="28"/>
        </w:rPr>
        <w:t>北京交通大学</w:t>
      </w:r>
    </w:p>
    <w:p>
      <w:pPr>
        <w:spacing w:line="600" w:lineRule="exact"/>
        <w:jc w:val="right"/>
        <w:rPr>
          <w:rFonts w:hint="eastAsia" w:ascii="仿宋_GB2312" w:hAnsi="宋体" w:eastAsia="仿宋_GB2312"/>
          <w:sz w:val="28"/>
          <w:szCs w:val="28"/>
        </w:rPr>
      </w:pPr>
      <w:r>
        <w:rPr>
          <w:rFonts w:hint="eastAsia" w:ascii="仿宋_GB2312" w:hAnsi="宋体" w:eastAsia="仿宋_GB2312"/>
          <w:sz w:val="28"/>
          <w:szCs w:val="28"/>
        </w:rPr>
        <w:t xml:space="preserve">                               大学生统计建模大赛组委会</w:t>
      </w:r>
    </w:p>
    <w:p>
      <w:pPr>
        <w:spacing w:line="600" w:lineRule="exact"/>
        <w:jc w:val="right"/>
        <w:rPr>
          <w:rFonts w:ascii="仿宋_GB2312" w:hAnsi="宋体" w:eastAsia="仿宋_GB2312"/>
          <w:sz w:val="28"/>
          <w:szCs w:val="28"/>
        </w:rPr>
      </w:pPr>
      <w:r>
        <w:rPr>
          <w:rFonts w:hint="eastAsia" w:ascii="仿宋_GB2312" w:hAnsi="宋体" w:eastAsia="仿宋_GB2312"/>
          <w:sz w:val="28"/>
          <w:szCs w:val="28"/>
          <w:lang w:val="en-US" w:eastAsia="zh-CN"/>
        </w:rPr>
        <w:t>本科生院</w:t>
      </w:r>
      <w:r>
        <w:rPr>
          <w:rFonts w:hint="eastAsia" w:ascii="仿宋_GB2312" w:hAnsi="宋体" w:eastAsia="仿宋_GB2312"/>
          <w:sz w:val="28"/>
          <w:szCs w:val="28"/>
          <w:lang w:eastAsia="zh-CN"/>
        </w:rPr>
        <w:t>（</w:t>
      </w:r>
      <w:bookmarkStart w:id="0" w:name="_GoBack"/>
      <w:bookmarkEnd w:id="0"/>
      <w:r>
        <w:rPr>
          <w:rFonts w:hint="eastAsia" w:ascii="仿宋_GB2312" w:hAnsi="宋体" w:eastAsia="仿宋_GB2312"/>
          <w:sz w:val="28"/>
          <w:szCs w:val="28"/>
          <w:lang w:val="en-US" w:eastAsia="zh-CN"/>
        </w:rPr>
        <w:t>代章</w:t>
      </w:r>
      <w:r>
        <w:rPr>
          <w:rFonts w:hint="eastAsia" w:ascii="仿宋_GB2312" w:hAnsi="宋体" w:eastAsia="仿宋_GB2312"/>
          <w:sz w:val="28"/>
          <w:szCs w:val="28"/>
          <w:lang w:eastAsia="zh-CN"/>
        </w:rPr>
        <w:t>）</w:t>
      </w:r>
      <w:r>
        <w:rPr>
          <w:rFonts w:hint="eastAsia" w:ascii="仿宋_GB2312" w:hAnsi="宋体" w:eastAsia="仿宋_GB2312"/>
          <w:sz w:val="28"/>
          <w:szCs w:val="28"/>
        </w:rPr>
        <w:t xml:space="preserve">  </w:t>
      </w:r>
    </w:p>
    <w:p>
      <w:pPr>
        <w:spacing w:line="600" w:lineRule="exact"/>
        <w:jc w:val="right"/>
        <w:rPr>
          <w:rFonts w:ascii="仿宋_GB2312" w:hAnsi="宋体" w:eastAsia="仿宋_GB2312"/>
          <w:sz w:val="28"/>
          <w:szCs w:val="28"/>
        </w:rPr>
      </w:pPr>
      <w:r>
        <w:rPr>
          <w:rFonts w:hint="eastAsia" w:ascii="仿宋_GB2312" w:hAnsi="宋体" w:eastAsia="仿宋_GB2312"/>
          <w:sz w:val="28"/>
          <w:szCs w:val="28"/>
        </w:rPr>
        <w:t xml:space="preserve">                                20</w:t>
      </w:r>
      <w:r>
        <w:rPr>
          <w:rFonts w:ascii="仿宋_GB2312" w:hAnsi="宋体" w:eastAsia="仿宋_GB2312"/>
          <w:sz w:val="28"/>
          <w:szCs w:val="28"/>
        </w:rPr>
        <w:t>22</w:t>
      </w:r>
      <w:r>
        <w:rPr>
          <w:rFonts w:hint="eastAsia" w:ascii="仿宋_GB2312" w:hAnsi="宋体" w:eastAsia="仿宋_GB2312"/>
          <w:sz w:val="28"/>
          <w:szCs w:val="28"/>
        </w:rPr>
        <w:t>年5月</w:t>
      </w:r>
      <w:r>
        <w:rPr>
          <w:rFonts w:ascii="仿宋_GB2312" w:hAnsi="宋体" w:eastAsia="仿宋_GB2312"/>
          <w:sz w:val="28"/>
          <w:szCs w:val="28"/>
        </w:rPr>
        <w:t>1</w:t>
      </w:r>
      <w:r>
        <w:rPr>
          <w:rFonts w:hint="eastAsia" w:ascii="仿宋_GB2312" w:hAnsi="宋体" w:eastAsia="仿宋_GB2312"/>
          <w:sz w:val="28"/>
          <w:szCs w:val="28"/>
          <w:lang w:val="en-US" w:eastAsia="zh-CN"/>
        </w:rPr>
        <w:t>3</w:t>
      </w:r>
      <w:r>
        <w:rPr>
          <w:rFonts w:hint="eastAsia" w:ascii="仿宋_GB2312" w:hAnsi="宋体" w:eastAsia="仿宋_GB2312"/>
          <w:sz w:val="28"/>
          <w:szCs w:val="28"/>
        </w:rPr>
        <w:t>日</w:t>
      </w:r>
    </w:p>
    <w:p>
      <w:pPr>
        <w:widowControl/>
        <w:rPr>
          <w:rFonts w:ascii="仿宋_GB2312" w:hAnsi="宋体" w:eastAsia="仿宋_GB2312"/>
          <w:sz w:val="28"/>
          <w:szCs w:val="28"/>
        </w:rPr>
      </w:pPr>
      <w:r>
        <w:rPr>
          <w:rFonts w:ascii="仿宋_GB2312" w:hAnsi="宋体" w:eastAsia="仿宋_GB2312"/>
          <w:sz w:val="28"/>
          <w:szCs w:val="28"/>
        </w:rPr>
        <w:br w:type="page"/>
      </w:r>
    </w:p>
    <w:p>
      <w:pPr>
        <w:rPr>
          <w:rFonts w:ascii="仿宋_GB2312" w:hAnsi="宋体" w:eastAsia="仿宋_GB2312"/>
          <w:sz w:val="28"/>
          <w:szCs w:val="28"/>
        </w:rPr>
      </w:pPr>
      <w:r>
        <w:rPr>
          <w:rFonts w:hint="eastAsia" w:ascii="仿宋_GB2312" w:hAnsi="宋体" w:eastAsia="仿宋_GB2312"/>
          <w:sz w:val="28"/>
          <w:szCs w:val="28"/>
        </w:rPr>
        <w:t>附件：</w:t>
      </w:r>
    </w:p>
    <w:p>
      <w:pPr>
        <w:autoSpaceDE/>
        <w:autoSpaceDN/>
        <w:adjustRightInd/>
        <w:spacing w:before="240" w:before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20</w:t>
      </w:r>
      <w:r>
        <w:rPr>
          <w:rFonts w:ascii="方正小标宋简体" w:hAnsi="华文中宋" w:eastAsia="方正小标宋简体"/>
          <w:kern w:val="2"/>
          <w:sz w:val="32"/>
          <w:szCs w:val="32"/>
        </w:rPr>
        <w:t>22</w:t>
      </w:r>
      <w:r>
        <w:rPr>
          <w:rFonts w:hint="eastAsia" w:ascii="方正小标宋简体" w:hAnsi="华文中宋" w:eastAsia="方正小标宋简体"/>
          <w:kern w:val="2"/>
          <w:sz w:val="32"/>
          <w:szCs w:val="32"/>
        </w:rPr>
        <w:t>年全国大学生统计建模大赛北京交通大学</w:t>
      </w:r>
    </w:p>
    <w:p>
      <w:pPr>
        <w:autoSpaceDE/>
        <w:autoSpaceDN/>
        <w:adjustRightInd/>
        <w:spacing w:before="120" w:beforeLines="50" w:after="240" w:after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校内选拔赛获奖名单</w:t>
      </w:r>
    </w:p>
    <w:p>
      <w:pPr>
        <w:spacing w:before="240" w:beforeLines="100" w:after="120" w:afterLines="50"/>
        <w:jc w:val="center"/>
        <w:rPr>
          <w:b/>
          <w:sz w:val="30"/>
          <w:szCs w:val="30"/>
        </w:rPr>
      </w:pPr>
      <w:r>
        <w:rPr>
          <w:rFonts w:hint="eastAsia"/>
          <w:b/>
          <w:sz w:val="30"/>
          <w:szCs w:val="30"/>
        </w:rPr>
        <w:t>一等奖（</w:t>
      </w:r>
      <w:r>
        <w:rPr>
          <w:b/>
          <w:sz w:val="30"/>
          <w:szCs w:val="30"/>
        </w:rPr>
        <w:t>4</w:t>
      </w:r>
      <w:r>
        <w:rPr>
          <w:rFonts w:hint="eastAsia"/>
          <w:b/>
          <w:sz w:val="30"/>
          <w:szCs w:val="30"/>
        </w:rPr>
        <w:t>项，</w:t>
      </w:r>
      <w:r>
        <w:rPr>
          <w:b/>
          <w:sz w:val="30"/>
          <w:szCs w:val="30"/>
        </w:rPr>
        <w:t>12</w:t>
      </w:r>
      <w:r>
        <w:rPr>
          <w:rFonts w:hint="eastAsia"/>
          <w:b/>
          <w:sz w:val="30"/>
          <w:szCs w:val="30"/>
        </w:rPr>
        <w:t>人）</w:t>
      </w:r>
    </w:p>
    <w:tbl>
      <w:tblPr>
        <w:tblStyle w:val="7"/>
        <w:tblW w:w="8586" w:type="dxa"/>
        <w:jc w:val="center"/>
        <w:tblLayout w:type="autofit"/>
        <w:tblCellMar>
          <w:top w:w="0" w:type="dxa"/>
          <w:left w:w="108" w:type="dxa"/>
          <w:bottom w:w="0" w:type="dxa"/>
          <w:right w:w="108" w:type="dxa"/>
        </w:tblCellMar>
      </w:tblPr>
      <w:tblGrid>
        <w:gridCol w:w="921"/>
        <w:gridCol w:w="3492"/>
        <w:gridCol w:w="1275"/>
        <w:gridCol w:w="1481"/>
        <w:gridCol w:w="1417"/>
      </w:tblGrid>
      <w:tr>
        <w:tblPrEx>
          <w:tblCellMar>
            <w:top w:w="0" w:type="dxa"/>
            <w:left w:w="108" w:type="dxa"/>
            <w:bottom w:w="0" w:type="dxa"/>
            <w:right w:w="108" w:type="dxa"/>
          </w:tblCellMar>
        </w:tblPrEx>
        <w:trPr>
          <w:trHeight w:val="454" w:hRule="atLeast"/>
          <w:jc w:val="center"/>
        </w:trPr>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rPr>
            </w:pPr>
            <w:r>
              <w:rPr>
                <w:rFonts w:hint="eastAsia" w:ascii="宋体" w:hAnsi="宋体" w:cs="宋体"/>
                <w:b/>
              </w:rPr>
              <w:t>序号</w:t>
            </w:r>
          </w:p>
        </w:tc>
        <w:tc>
          <w:tcPr>
            <w:tcW w:w="34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论文题目</w:t>
            </w:r>
          </w:p>
        </w:tc>
        <w:tc>
          <w:tcPr>
            <w:tcW w:w="12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学生姓名</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rPr>
            </w:pPr>
            <w:r>
              <w:rPr>
                <w:rFonts w:hint="eastAsia" w:ascii="宋体" w:hAnsi="宋体" w:cs="宋体"/>
                <w:b/>
              </w:rPr>
              <w:t>学号</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所在学院</w:t>
            </w:r>
          </w:p>
        </w:tc>
      </w:tr>
      <w:tr>
        <w:tblPrEx>
          <w:tblCellMar>
            <w:top w:w="0" w:type="dxa"/>
            <w:left w:w="108" w:type="dxa"/>
            <w:bottom w:w="0" w:type="dxa"/>
            <w:right w:w="108" w:type="dxa"/>
          </w:tblCellMar>
        </w:tblPrEx>
        <w:trPr>
          <w:trHeight w:val="623" w:hRule="atLeast"/>
          <w:jc w:val="center"/>
        </w:trPr>
        <w:tc>
          <w:tcPr>
            <w:tcW w:w="921"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p>
        </w:tc>
        <w:tc>
          <w:tcPr>
            <w:tcW w:w="3492" w:type="dxa"/>
            <w:vMerge w:val="restart"/>
            <w:tcBorders>
              <w:top w:val="nil"/>
              <w:left w:val="nil"/>
              <w:right w:val="single" w:color="auto" w:sz="4" w:space="0"/>
            </w:tcBorders>
            <w:shd w:val="clear" w:color="auto" w:fill="auto"/>
            <w:noWrap/>
            <w:vAlign w:val="center"/>
          </w:tcPr>
          <w:p>
            <w:pPr>
              <w:rPr>
                <w:rFonts w:ascii="楷体" w:hAnsi="楷体" w:eastAsia="楷体"/>
                <w:color w:val="000000"/>
              </w:rPr>
            </w:pPr>
            <w:r>
              <w:rPr>
                <w:rFonts w:hint="eastAsia" w:ascii="楷体" w:hAnsi="楷体" w:eastAsia="楷体" w:cs="CIDFont+F2"/>
              </w:rPr>
              <w:t>市场开放度对经济高质量发展的影响研究——基于省级</w:t>
            </w:r>
            <w:r>
              <w:rPr>
                <w:rFonts w:ascii="楷体" w:hAnsi="楷体" w:eastAsia="楷体" w:cs="CIDFont+F2"/>
              </w:rPr>
              <w:t xml:space="preserve">2005-2020 </w:t>
            </w:r>
            <w:r>
              <w:rPr>
                <w:rFonts w:hint="eastAsia" w:ascii="楷体" w:hAnsi="楷体" w:eastAsia="楷体" w:cs="CIDFont+F2"/>
              </w:rPr>
              <w:t>面板数据实证分析</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赵明宇</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20271230</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范琳倩</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20271209</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陈浩钧</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20271265</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623" w:hRule="atLeast"/>
          <w:jc w:val="center"/>
        </w:trPr>
        <w:tc>
          <w:tcPr>
            <w:tcW w:w="921" w:type="dxa"/>
            <w:vMerge w:val="restart"/>
            <w:tcBorders>
              <w:left w:val="single" w:color="auto" w:sz="4" w:space="0"/>
              <w:right w:val="single" w:color="auto"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w:t>
            </w:r>
          </w:p>
        </w:tc>
        <w:tc>
          <w:tcPr>
            <w:tcW w:w="3492" w:type="dxa"/>
            <w:vMerge w:val="restart"/>
            <w:tcBorders>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面向新发展格局</w:t>
            </w:r>
            <w:r>
              <w:rPr>
                <w:rFonts w:hint="eastAsia" w:ascii="楷体" w:hAnsi="楷体" w:eastAsia="楷体" w:cs="CIDFont+F2"/>
              </w:rPr>
              <w:t>——</w:t>
            </w:r>
            <w:r>
              <w:rPr>
                <w:rFonts w:hint="eastAsia" w:ascii="楷体" w:hAnsi="楷体" w:eastAsia="楷体"/>
                <w:color w:val="000000"/>
              </w:rPr>
              <w:t>融合复杂系统的疫情防控分析</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刘文康</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19271043</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齐冠治</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19271048</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农炳辉</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19271047</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623" w:hRule="atLeast"/>
          <w:jc w:val="center"/>
        </w:trPr>
        <w:tc>
          <w:tcPr>
            <w:tcW w:w="921"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ascii="宋体" w:hAnsi="宋体" w:cs="宋体"/>
                <w:color w:val="000000"/>
              </w:rPr>
              <w:t>3</w:t>
            </w:r>
          </w:p>
        </w:tc>
        <w:tc>
          <w:tcPr>
            <w:tcW w:w="3492" w:type="dxa"/>
            <w:vMerge w:val="restart"/>
            <w:tcBorders>
              <w:top w:val="nil"/>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基于数据挖掘与深度学习的全国房价预测分析</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许柏恺</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20251197</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许嘉扬</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20231141</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许育玮</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20291091</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78" w:hRule="atLeast"/>
          <w:jc w:val="center"/>
        </w:trPr>
        <w:tc>
          <w:tcPr>
            <w:tcW w:w="921"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ascii="宋体" w:hAnsi="宋体" w:cs="宋体"/>
                <w:color w:val="000000"/>
              </w:rPr>
            </w:pPr>
          </w:p>
          <w:p>
            <w:pPr>
              <w:widowControl/>
              <w:jc w:val="center"/>
              <w:rPr>
                <w:rFonts w:ascii="宋体" w:cs="宋体"/>
                <w:color w:val="000000"/>
              </w:rPr>
            </w:pPr>
          </w:p>
          <w:p>
            <w:pPr>
              <w:widowControl/>
              <w:jc w:val="center"/>
              <w:rPr>
                <w:rFonts w:ascii="宋体" w:cs="宋体"/>
                <w:color w:val="000000"/>
              </w:rPr>
            </w:pPr>
            <w:r>
              <w:rPr>
                <w:rFonts w:hint="eastAsia" w:ascii="宋体" w:cs="宋体"/>
                <w:color w:val="000000"/>
              </w:rPr>
              <w:t>4</w:t>
            </w:r>
          </w:p>
          <w:p>
            <w:pPr>
              <w:widowControl/>
              <w:jc w:val="center"/>
              <w:rPr>
                <w:rFonts w:ascii="宋体" w:cs="宋体"/>
                <w:color w:val="000000"/>
              </w:rPr>
            </w:pPr>
          </w:p>
          <w:p>
            <w:pPr>
              <w:widowControl/>
              <w:jc w:val="center"/>
              <w:rPr>
                <w:rFonts w:ascii="宋体" w:cs="宋体"/>
                <w:color w:val="000000"/>
              </w:rPr>
            </w:pPr>
          </w:p>
          <w:p>
            <w:pPr>
              <w:widowControl/>
              <w:jc w:val="center"/>
              <w:rPr>
                <w:rFonts w:ascii="宋体" w:hAnsi="宋体" w:cs="宋体"/>
                <w:color w:val="000000"/>
              </w:rPr>
            </w:pPr>
          </w:p>
        </w:tc>
        <w:tc>
          <w:tcPr>
            <w:tcW w:w="3492" w:type="dxa"/>
            <w:vMerge w:val="restart"/>
            <w:tcBorders>
              <w:top w:val="single" w:color="auto" w:sz="4" w:space="0"/>
              <w:left w:val="nil"/>
              <w:right w:val="single" w:color="auto" w:sz="4" w:space="0"/>
            </w:tcBorders>
            <w:shd w:val="clear" w:color="auto" w:fill="auto"/>
            <w:noWrap/>
            <w:vAlign w:val="center"/>
          </w:tcPr>
          <w:p>
            <w:pPr>
              <w:pStyle w:val="22"/>
              <w:rPr>
                <w:rFonts w:ascii="楷体" w:hAnsi="楷体" w:eastAsia="楷体"/>
              </w:rPr>
            </w:pPr>
            <w:r>
              <w:rPr>
                <w:rFonts w:hint="eastAsia" w:ascii="楷体" w:hAnsi="楷体" w:eastAsia="楷体"/>
              </w:rPr>
              <w:t>“不买买买是因为没钱？非也！”——基于Logistic模型和结构方程模型的对湖北省民众消费意愿影响因素探究</w:t>
            </w:r>
          </w:p>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袁一凡</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21301142</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645" w:hRule="atLeast"/>
          <w:jc w:val="center"/>
        </w:trPr>
        <w:tc>
          <w:tcPr>
            <w:tcW w:w="921" w:type="dxa"/>
            <w:vMerge w:val="continue"/>
            <w:tcBorders>
              <w:left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jc w:val="center"/>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郭佳</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21301008</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615"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丁宇涵</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21301120</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bl>
    <w:p>
      <w:pPr>
        <w:spacing w:before="480" w:beforeLines="200" w:after="120" w:afterLines="50"/>
        <w:jc w:val="center"/>
        <w:rPr>
          <w:b/>
          <w:sz w:val="30"/>
          <w:szCs w:val="30"/>
        </w:rPr>
      </w:pPr>
    </w:p>
    <w:p>
      <w:pPr>
        <w:spacing w:before="480" w:beforeLines="200" w:after="120" w:afterLines="50"/>
        <w:jc w:val="center"/>
        <w:rPr>
          <w:b/>
          <w:sz w:val="30"/>
          <w:szCs w:val="30"/>
        </w:rPr>
      </w:pPr>
    </w:p>
    <w:p>
      <w:pPr>
        <w:spacing w:before="480" w:beforeLines="200" w:after="120" w:afterLines="50"/>
        <w:jc w:val="center"/>
        <w:rPr>
          <w:b/>
          <w:sz w:val="30"/>
          <w:szCs w:val="30"/>
        </w:rPr>
      </w:pPr>
    </w:p>
    <w:p>
      <w:pPr>
        <w:spacing w:before="480" w:beforeLines="200" w:after="120" w:afterLines="50"/>
        <w:jc w:val="center"/>
        <w:rPr>
          <w:b/>
          <w:sz w:val="30"/>
          <w:szCs w:val="30"/>
        </w:rPr>
      </w:pPr>
    </w:p>
    <w:p>
      <w:pPr>
        <w:spacing w:before="480" w:beforeLines="200" w:after="120" w:afterLines="50"/>
        <w:jc w:val="center"/>
        <w:rPr>
          <w:b/>
          <w:sz w:val="30"/>
          <w:szCs w:val="30"/>
        </w:rPr>
      </w:pPr>
      <w:r>
        <w:rPr>
          <w:rFonts w:hint="eastAsia"/>
          <w:b/>
          <w:sz w:val="30"/>
          <w:szCs w:val="30"/>
        </w:rPr>
        <w:t>二等奖（</w:t>
      </w:r>
      <w:r>
        <w:rPr>
          <w:b/>
          <w:sz w:val="30"/>
          <w:szCs w:val="30"/>
        </w:rPr>
        <w:t>7</w:t>
      </w:r>
      <w:r>
        <w:rPr>
          <w:rFonts w:hint="eastAsia"/>
          <w:b/>
          <w:sz w:val="30"/>
          <w:szCs w:val="30"/>
        </w:rPr>
        <w:t>项，</w:t>
      </w:r>
      <w:r>
        <w:rPr>
          <w:b/>
          <w:sz w:val="30"/>
          <w:szCs w:val="30"/>
        </w:rPr>
        <w:t>21</w:t>
      </w:r>
      <w:r>
        <w:rPr>
          <w:rFonts w:hint="eastAsia"/>
          <w:b/>
          <w:sz w:val="30"/>
          <w:szCs w:val="30"/>
        </w:rPr>
        <w:t>人）</w:t>
      </w:r>
    </w:p>
    <w:tbl>
      <w:tblPr>
        <w:tblStyle w:val="7"/>
        <w:tblW w:w="8696" w:type="dxa"/>
        <w:jc w:val="center"/>
        <w:tblLayout w:type="autofit"/>
        <w:tblCellMar>
          <w:top w:w="0" w:type="dxa"/>
          <w:left w:w="108" w:type="dxa"/>
          <w:bottom w:w="0" w:type="dxa"/>
          <w:right w:w="108" w:type="dxa"/>
        </w:tblCellMar>
      </w:tblPr>
      <w:tblGrid>
        <w:gridCol w:w="849"/>
        <w:gridCol w:w="2910"/>
        <w:gridCol w:w="1843"/>
        <w:gridCol w:w="1275"/>
        <w:gridCol w:w="1819"/>
      </w:tblGrid>
      <w:tr>
        <w:tblPrEx>
          <w:tblCellMar>
            <w:top w:w="0" w:type="dxa"/>
            <w:left w:w="108" w:type="dxa"/>
            <w:bottom w:w="0" w:type="dxa"/>
            <w:right w:w="108" w:type="dxa"/>
          </w:tblCellMar>
        </w:tblPrEx>
        <w:trPr>
          <w:trHeight w:val="454" w:hRule="atLeast"/>
          <w:jc w:val="center"/>
        </w:trPr>
        <w:tc>
          <w:tcPr>
            <w:tcW w:w="84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rPr>
            </w:pPr>
            <w:r>
              <w:rPr>
                <w:rFonts w:hint="eastAsia" w:ascii="宋体" w:hAnsi="宋体" w:cs="宋体"/>
                <w:b/>
              </w:rPr>
              <w:t>序号</w:t>
            </w:r>
          </w:p>
        </w:tc>
        <w:tc>
          <w:tcPr>
            <w:tcW w:w="29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论文题目</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学生姓名</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rPr>
            </w:pPr>
            <w:r>
              <w:rPr>
                <w:rFonts w:hint="eastAsia" w:ascii="宋体" w:hAnsi="宋体" w:cs="宋体"/>
                <w:b/>
              </w:rPr>
              <w:t>学号</w:t>
            </w:r>
          </w:p>
        </w:tc>
        <w:tc>
          <w:tcPr>
            <w:tcW w:w="18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所在学院</w:t>
            </w:r>
          </w:p>
        </w:tc>
      </w:tr>
      <w:tr>
        <w:tblPrEx>
          <w:tblCellMar>
            <w:top w:w="0" w:type="dxa"/>
            <w:left w:w="108" w:type="dxa"/>
            <w:bottom w:w="0" w:type="dxa"/>
            <w:right w:w="108" w:type="dxa"/>
          </w:tblCellMar>
        </w:tblPrEx>
        <w:trPr>
          <w:trHeight w:val="567" w:hRule="atLeast"/>
          <w:jc w:val="center"/>
        </w:trPr>
        <w:tc>
          <w:tcPr>
            <w:tcW w:w="849"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p>
        </w:tc>
        <w:tc>
          <w:tcPr>
            <w:tcW w:w="2910" w:type="dxa"/>
            <w:vMerge w:val="restart"/>
            <w:tcBorders>
              <w:top w:val="nil"/>
              <w:left w:val="nil"/>
              <w:right w:val="single" w:color="auto" w:sz="4" w:space="0"/>
            </w:tcBorders>
            <w:shd w:val="clear" w:color="auto" w:fill="auto"/>
            <w:noWrap/>
            <w:vAlign w:val="center"/>
          </w:tcPr>
          <w:p>
            <w:pPr>
              <w:spacing w:line="20" w:lineRule="atLeast"/>
              <w:rPr>
                <w:rFonts w:ascii="楷体" w:hAnsi="楷体" w:eastAsia="楷体" w:cs="宋体"/>
                <w:bCs/>
              </w:rPr>
            </w:pPr>
            <w:r>
              <w:rPr>
                <w:rFonts w:hint="eastAsia" w:ascii="楷体" w:hAnsi="楷体" w:eastAsia="楷体" w:cs="宋体"/>
                <w:bCs/>
              </w:rPr>
              <w:t>基于多目标线性规划的低碳出行链研究</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吕文静</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20271015</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陈旺</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20271003</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张天润</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20271172</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2</w:t>
            </w:r>
          </w:p>
        </w:tc>
        <w:tc>
          <w:tcPr>
            <w:tcW w:w="2910" w:type="dxa"/>
            <w:vMerge w:val="restart"/>
            <w:tcBorders>
              <w:top w:val="nil"/>
              <w:left w:val="nil"/>
              <w:right w:val="single" w:color="auto" w:sz="4" w:space="0"/>
            </w:tcBorders>
            <w:shd w:val="clear" w:color="auto" w:fill="auto"/>
            <w:noWrap/>
            <w:vAlign w:val="center"/>
          </w:tcPr>
          <w:p>
            <w:pPr>
              <w:rPr>
                <w:rFonts w:ascii="楷体" w:hAnsi="楷体" w:eastAsia="楷体"/>
                <w:color w:val="000000"/>
              </w:rPr>
            </w:pPr>
            <w:r>
              <w:rPr>
                <w:rFonts w:ascii="楷体" w:hAnsi="楷体" w:eastAsia="楷体"/>
              </w:rPr>
              <w:t>“网红”</w:t>
            </w:r>
            <w:r>
              <w:rPr>
                <w:rFonts w:hint="eastAsia" w:ascii="楷体" w:hAnsi="楷体" w:eastAsia="楷体"/>
              </w:rPr>
              <w:t>地区</w:t>
            </w:r>
            <w:r>
              <w:rPr>
                <w:rFonts w:ascii="楷体" w:hAnsi="楷体" w:eastAsia="楷体"/>
              </w:rPr>
              <w:t>在新发展格局下的生存之道</w:t>
            </w:r>
            <w:r>
              <w:rPr>
                <w:rFonts w:hint="eastAsia" w:ascii="楷体" w:hAnsi="楷体" w:eastAsia="楷体" w:cs="宋体"/>
                <w:bCs/>
              </w:rPr>
              <w:t>——以四川省及成都都市圈为例</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陈晗阳</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19281123</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孔志宇</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19322045</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语言与传播学院</w:t>
            </w:r>
          </w:p>
        </w:tc>
      </w:tr>
      <w:tr>
        <w:tblPrEx>
          <w:tblCellMar>
            <w:top w:w="0" w:type="dxa"/>
            <w:left w:w="108" w:type="dxa"/>
            <w:bottom w:w="0" w:type="dxa"/>
            <w:right w:w="108" w:type="dxa"/>
          </w:tblCellMar>
        </w:tblPrEx>
        <w:trPr>
          <w:trHeight w:val="70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李虹良</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19281129</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9"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3</w:t>
            </w:r>
          </w:p>
        </w:tc>
        <w:tc>
          <w:tcPr>
            <w:tcW w:w="291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“纸”上得来终觉浅</w:t>
            </w:r>
          </w:p>
          <w:p>
            <w:pPr>
              <w:widowControl/>
              <w:rPr>
                <w:rFonts w:ascii="楷体" w:hAnsi="楷体" w:eastAsia="楷体"/>
                <w:color w:val="000000"/>
              </w:rPr>
            </w:pPr>
            <w:r>
              <w:rPr>
                <w:rFonts w:hint="eastAsia" w:ascii="楷体" w:hAnsi="楷体" w:eastAsia="楷体"/>
                <w:color w:val="000000"/>
              </w:rPr>
              <w:t>——大学生无纸化学习影响因素以及消费者需求意愿的调查</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张扬</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19241102</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丁亦飞</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20241267</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郭凡瑜</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20241269</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9"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4</w:t>
            </w:r>
          </w:p>
        </w:tc>
        <w:tc>
          <w:tcPr>
            <w:tcW w:w="2910" w:type="dxa"/>
            <w:vMerge w:val="restart"/>
            <w:tcBorders>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基于BP-DEMAPEL-ANP 的国内重点城市绿色建</w:t>
            </w:r>
          </w:p>
          <w:p>
            <w:pPr>
              <w:widowControl/>
              <w:rPr>
                <w:rFonts w:ascii="楷体" w:hAnsi="楷体" w:eastAsia="楷体"/>
                <w:color w:val="000000"/>
              </w:rPr>
            </w:pPr>
            <w:r>
              <w:rPr>
                <w:rFonts w:hint="eastAsia" w:ascii="楷体" w:hAnsi="楷体" w:eastAsia="楷体"/>
                <w:color w:val="000000"/>
              </w:rPr>
              <w:t>筑发展综合评价分析</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邱雨</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20271187</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widowControl/>
              <w:rPr>
                <w:rFonts w:ascii="楷体" w:hAnsi="楷体" w:eastAsia="楷体" w:cs="宋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胡超恩</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20271035</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s="宋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丁蕾嘉</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20271233</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5</w:t>
            </w:r>
          </w:p>
        </w:tc>
        <w:tc>
          <w:tcPr>
            <w:tcW w:w="2910" w:type="dxa"/>
            <w:vMerge w:val="restart"/>
            <w:tcBorders>
              <w:left w:val="nil"/>
              <w:right w:val="single" w:color="auto" w:sz="4" w:space="0"/>
            </w:tcBorders>
            <w:shd w:val="clear" w:color="auto" w:fill="auto"/>
            <w:noWrap/>
            <w:vAlign w:val="center"/>
          </w:tcPr>
          <w:p>
            <w:pPr>
              <w:spacing w:line="20" w:lineRule="atLeast"/>
              <w:rPr>
                <w:rFonts w:ascii="楷体" w:hAnsi="楷体" w:eastAsia="楷体"/>
                <w:bCs/>
              </w:rPr>
            </w:pPr>
            <w:r>
              <w:rPr>
                <w:rFonts w:hint="eastAsia" w:ascii="楷体" w:hAnsi="楷体" w:eastAsia="楷体"/>
                <w:bCs/>
              </w:rPr>
              <w:t>新发展格局对区域经济高质量发展的促进作用</w:t>
            </w:r>
          </w:p>
          <w:p>
            <w:pPr>
              <w:rPr>
                <w:rFonts w:ascii="楷体" w:hAnsi="楷体" w:eastAsia="楷体"/>
                <w:color w:val="000000"/>
              </w:rPr>
            </w:pPr>
            <w:r>
              <w:rPr>
                <w:rFonts w:hint="eastAsia" w:ascii="楷体" w:hAnsi="楷体" w:eastAsia="楷体"/>
                <w:bCs/>
              </w:rPr>
              <w:t>——基于北京市中小微企业的统计分析</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孙乔</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20271045</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陈佳木</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20271002</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王子元</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20271249</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ascii="宋体" w:hAnsi="宋体" w:cs="宋体"/>
                <w:color w:val="000000"/>
              </w:rPr>
              <w:t>6</w:t>
            </w:r>
          </w:p>
        </w:tc>
        <w:tc>
          <w:tcPr>
            <w:tcW w:w="2910" w:type="dxa"/>
            <w:vMerge w:val="restart"/>
            <w:tcBorders>
              <w:left w:val="nil"/>
              <w:right w:val="single" w:color="auto" w:sz="4" w:space="0"/>
            </w:tcBorders>
            <w:shd w:val="clear" w:color="auto" w:fill="auto"/>
            <w:noWrap/>
            <w:vAlign w:val="center"/>
          </w:tcPr>
          <w:p>
            <w:pPr>
              <w:rPr>
                <w:rFonts w:ascii="楷体" w:hAnsi="楷体" w:eastAsia="楷体"/>
                <w:color w:val="000000"/>
              </w:rPr>
            </w:pPr>
            <w:r>
              <w:rPr>
                <w:rFonts w:hint="eastAsia" w:ascii="楷体" w:hAnsi="楷体" w:eastAsia="楷体" w:cs="宋体"/>
              </w:rPr>
              <w:t>新发展格局下环保投资对经济发展的影响</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杨颖涵</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20271168</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幸翔宇</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20271252</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刘雅倩</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19271270</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ascii="宋体" w:hAnsi="宋体" w:cs="宋体"/>
                <w:color w:val="000000"/>
              </w:rPr>
              <w:t>7</w:t>
            </w:r>
          </w:p>
        </w:tc>
        <w:tc>
          <w:tcPr>
            <w:tcW w:w="2910" w:type="dxa"/>
            <w:vMerge w:val="restart"/>
            <w:tcBorders>
              <w:top w:val="single" w:color="auto" w:sz="4" w:space="0"/>
              <w:left w:val="nil"/>
              <w:right w:val="single" w:color="auto" w:sz="4" w:space="0"/>
            </w:tcBorders>
            <w:shd w:val="clear" w:color="auto" w:fill="auto"/>
            <w:noWrap/>
            <w:vAlign w:val="center"/>
          </w:tcPr>
          <w:p>
            <w:pPr>
              <w:rPr>
                <w:rFonts w:ascii="楷体" w:hAnsi="楷体" w:eastAsia="楷体"/>
                <w:color w:val="000000"/>
              </w:rPr>
            </w:pPr>
            <w:r>
              <w:rPr>
                <w:rFonts w:hint="eastAsia" w:ascii="楷体" w:hAnsi="楷体" w:eastAsia="楷体" w:cs="宋体"/>
                <w:bCs/>
              </w:rPr>
              <w:t>对新冠疫情时代的新发展理念探索</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胡美琦</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20301040</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widowControl/>
              <w:jc w:val="center"/>
              <w:rPr>
                <w:rFonts w:ascii="楷体" w:hAnsi="楷体" w:eastAsia="楷体" w:cs="宋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李建华</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20271154</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widowControl/>
              <w:jc w:val="center"/>
              <w:rPr>
                <w:rFonts w:ascii="楷体" w:hAnsi="楷体" w:eastAsia="楷体" w:cs="宋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韩滨泽</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20271182</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bl>
    <w:p>
      <w:pPr>
        <w:spacing w:before="240" w:beforeLines="100" w:after="120" w:afterLines="50"/>
        <w:jc w:val="center"/>
        <w:rPr>
          <w:b/>
          <w:sz w:val="30"/>
          <w:szCs w:val="30"/>
        </w:rPr>
      </w:pPr>
    </w:p>
    <w:p>
      <w:pPr>
        <w:spacing w:before="240" w:beforeLines="100" w:after="120" w:afterLines="50"/>
        <w:jc w:val="center"/>
        <w:rPr>
          <w:b/>
          <w:sz w:val="30"/>
          <w:szCs w:val="30"/>
        </w:rPr>
      </w:pPr>
    </w:p>
    <w:p>
      <w:pPr>
        <w:spacing w:before="240" w:beforeLines="100" w:after="120" w:afterLines="50"/>
        <w:jc w:val="center"/>
        <w:rPr>
          <w:b/>
          <w:sz w:val="30"/>
          <w:szCs w:val="30"/>
        </w:rPr>
      </w:pPr>
      <w:r>
        <w:rPr>
          <w:rFonts w:hint="eastAsia"/>
          <w:b/>
          <w:sz w:val="30"/>
          <w:szCs w:val="30"/>
        </w:rPr>
        <w:t>三等奖（</w:t>
      </w:r>
      <w:r>
        <w:rPr>
          <w:b/>
          <w:sz w:val="30"/>
          <w:szCs w:val="30"/>
        </w:rPr>
        <w:t>11</w:t>
      </w:r>
      <w:r>
        <w:rPr>
          <w:rFonts w:hint="eastAsia"/>
          <w:b/>
          <w:sz w:val="30"/>
          <w:szCs w:val="30"/>
        </w:rPr>
        <w:t>项，</w:t>
      </w:r>
      <w:r>
        <w:rPr>
          <w:b/>
          <w:sz w:val="30"/>
          <w:szCs w:val="30"/>
        </w:rPr>
        <w:t>33</w:t>
      </w:r>
      <w:r>
        <w:rPr>
          <w:rFonts w:hint="eastAsia"/>
          <w:b/>
          <w:sz w:val="30"/>
          <w:szCs w:val="30"/>
        </w:rPr>
        <w:t>人）</w:t>
      </w:r>
    </w:p>
    <w:tbl>
      <w:tblPr>
        <w:tblStyle w:val="7"/>
        <w:tblW w:w="8766" w:type="dxa"/>
        <w:jc w:val="center"/>
        <w:tblLayout w:type="autofit"/>
        <w:tblCellMar>
          <w:top w:w="0" w:type="dxa"/>
          <w:left w:w="108" w:type="dxa"/>
          <w:bottom w:w="0" w:type="dxa"/>
          <w:right w:w="108" w:type="dxa"/>
        </w:tblCellMar>
      </w:tblPr>
      <w:tblGrid>
        <w:gridCol w:w="842"/>
        <w:gridCol w:w="3260"/>
        <w:gridCol w:w="1251"/>
        <w:gridCol w:w="1701"/>
        <w:gridCol w:w="1712"/>
      </w:tblGrid>
      <w:tr>
        <w:tblPrEx>
          <w:tblCellMar>
            <w:top w:w="0" w:type="dxa"/>
            <w:left w:w="108" w:type="dxa"/>
            <w:bottom w:w="0" w:type="dxa"/>
            <w:right w:w="108" w:type="dxa"/>
          </w:tblCellMar>
        </w:tblPrEx>
        <w:trPr>
          <w:trHeight w:val="454" w:hRule="atLeast"/>
          <w:jc w:val="center"/>
        </w:trPr>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rPr>
            </w:pPr>
            <w:r>
              <w:rPr>
                <w:rFonts w:hint="eastAsia" w:ascii="宋体" w:hAnsi="宋体" w:cs="宋体"/>
                <w:b/>
              </w:rPr>
              <w:t>序号</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论文题目</w:t>
            </w:r>
          </w:p>
        </w:tc>
        <w:tc>
          <w:tcPr>
            <w:tcW w:w="12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学生姓名</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rPr>
            </w:pPr>
            <w:r>
              <w:rPr>
                <w:rFonts w:hint="eastAsia" w:ascii="宋体" w:hAnsi="宋体" w:cs="宋体"/>
                <w:b/>
              </w:rPr>
              <w:t>学号</w:t>
            </w:r>
          </w:p>
        </w:tc>
        <w:tc>
          <w:tcPr>
            <w:tcW w:w="17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所在学院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s="宋体"/>
                <w:bCs/>
              </w:rPr>
              <w:t>数字化技术赋能农村农业发展</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杨瑞洁</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20271051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唐霏</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20271046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杨岚</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20271167</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2</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基于模糊Petri网和贝叶斯网络模型的新冠疫情以来国内外航空事故因素分析及对策</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刘慧杰</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19301012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张瑞楠</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20241263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封晓露</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20241268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rPr>
          <w:trHeight w:val="567" w:hRule="atLeast"/>
          <w:jc w:val="center"/>
        </w:trPr>
        <w:tc>
          <w:tcPr>
            <w:tcW w:w="842"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3</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新冠疫情下中国省域物流业发展测度研究——基于熵权TOPSIS 及断点回归模型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郜轩艺</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20271272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宁栎娜</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20271098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徐一舟</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20221213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机械与电子控制工程学院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4</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s="宋体"/>
              </w:rPr>
              <w:t>新发展格局下粮食安全影响因素分析</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王晓语</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19281018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胡月</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20281213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王鑫</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20241214</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5</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s="宋体"/>
                <w:bCs/>
              </w:rPr>
              <w:t>对跨境电商类上市公司经营绩效的统计测度研究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商琳悦</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20271277</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陈丹宁</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20271001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李慧东</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20271009</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6</w:t>
            </w:r>
          </w:p>
        </w:tc>
        <w:tc>
          <w:tcPr>
            <w:tcW w:w="3260" w:type="dxa"/>
            <w:vMerge w:val="restart"/>
            <w:tcBorders>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基于回归模型对交通基础设施与区域经济差距影响因素的研究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胡栩贤</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20231159</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黄鑫</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20251301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郭一玮</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20261077</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2"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7</w:t>
            </w:r>
          </w:p>
        </w:tc>
        <w:tc>
          <w:tcPr>
            <w:tcW w:w="3260" w:type="dxa"/>
            <w:vMerge w:val="restart"/>
            <w:tcBorders>
              <w:left w:val="nil"/>
              <w:right w:val="single" w:color="auto" w:sz="4" w:space="0"/>
            </w:tcBorders>
            <w:shd w:val="clear" w:color="auto" w:fill="auto"/>
            <w:noWrap/>
            <w:vAlign w:val="center"/>
          </w:tcPr>
          <w:p>
            <w:pPr>
              <w:rPr>
                <w:rFonts w:ascii="楷体" w:hAnsi="楷体" w:eastAsia="楷体"/>
                <w:color w:val="000000"/>
              </w:rPr>
            </w:pPr>
            <w:r>
              <w:rPr>
                <w:rFonts w:hint="eastAsia" w:ascii="楷体" w:hAnsi="楷体" w:eastAsia="楷体" w:cs="等线"/>
              </w:rPr>
              <w:t>新冠疫情对中国民航业（以南航为例）的影响研究</w:t>
            </w:r>
            <w:r>
              <w:rPr>
                <w:rFonts w:hint="eastAsia" w:ascii="楷体" w:hAnsi="楷体" w:eastAsia="楷体"/>
                <w:color w:val="000000"/>
              </w:rPr>
              <w:t>——</w:t>
            </w:r>
            <w:r>
              <w:rPr>
                <w:rFonts w:hint="eastAsia" w:ascii="楷体" w:hAnsi="楷体" w:eastAsia="楷体" w:cs="等线"/>
              </w:rPr>
              <w:t>基于</w:t>
            </w:r>
            <w:r>
              <w:rPr>
                <w:rFonts w:ascii="楷体" w:hAnsi="楷体" w:eastAsia="楷体" w:cs="宋体"/>
              </w:rPr>
              <w:t xml:space="preserve">SARIMA </w:t>
            </w:r>
            <w:r>
              <w:rPr>
                <w:rFonts w:hint="eastAsia" w:ascii="楷体" w:hAnsi="楷体" w:eastAsia="楷体" w:cs="等线"/>
              </w:rPr>
              <w:t>模型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孙玮艺</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20271223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刘阳</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20271215</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慕雯</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20271216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理学院</w:t>
            </w:r>
          </w:p>
        </w:tc>
      </w:tr>
      <w:tr>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8</w:t>
            </w:r>
          </w:p>
        </w:tc>
        <w:tc>
          <w:tcPr>
            <w:tcW w:w="326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360" w:lineRule="auto"/>
              <w:rPr>
                <w:rFonts w:ascii="楷体" w:hAnsi="楷体" w:eastAsia="楷体"/>
                <w:color w:val="000000"/>
              </w:rPr>
            </w:pPr>
            <w:r>
              <w:rPr>
                <w:rFonts w:hint="eastAsia" w:ascii="楷体" w:hAnsi="楷体" w:eastAsia="楷体" w:cs="宋体"/>
                <w:bCs/>
              </w:rPr>
              <w:t>交通建设与绿色经济发展推断分析模型</w:t>
            </w:r>
            <w:r>
              <w:rPr>
                <w:rFonts w:hint="eastAsia" w:ascii="楷体" w:hAnsi="楷体" w:eastAsia="楷体"/>
                <w:color w:val="000000"/>
              </w:rPr>
              <w:t>——</w:t>
            </w:r>
            <w:r>
              <w:rPr>
                <w:rFonts w:ascii="楷体" w:hAnsi="楷体" w:eastAsia="楷体" w:cs="宋体"/>
                <w:bCs/>
              </w:rPr>
              <w:t>以</w:t>
            </w:r>
            <w:r>
              <w:rPr>
                <w:rFonts w:hint="eastAsia" w:ascii="楷体" w:hAnsi="楷体" w:eastAsia="楷体" w:cs="宋体"/>
                <w:bCs/>
              </w:rPr>
              <w:t>京津冀</w:t>
            </w:r>
            <w:r>
              <w:rPr>
                <w:rFonts w:ascii="楷体" w:hAnsi="楷体" w:eastAsia="楷体" w:cs="宋体"/>
                <w:bCs/>
              </w:rPr>
              <w:t>为例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韩博轩</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20281312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张皓阳</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20211304</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电子信息工程学院</w:t>
            </w:r>
          </w:p>
        </w:tc>
      </w:tr>
      <w:tr>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夏心雨</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20241071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9</w:t>
            </w:r>
          </w:p>
        </w:tc>
        <w:tc>
          <w:tcPr>
            <w:tcW w:w="3260" w:type="dxa"/>
            <w:vMerge w:val="restart"/>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基于新发展格局下对航空企业安全管理综合危险系数的评价体系——以东航为例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邱云祺</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20271131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许斯淇</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20271139</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杨雨桐</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20271142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rPr>
          <w:trHeight w:val="589"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p>
            <w:pPr>
              <w:widowControl/>
              <w:rPr>
                <w:rFonts w:ascii="宋体" w:cs="宋体"/>
                <w:color w:val="000000"/>
              </w:rPr>
            </w:pPr>
          </w:p>
          <w:p>
            <w:pPr>
              <w:widowControl/>
              <w:rPr>
                <w:rFonts w:ascii="宋体" w:cs="宋体"/>
                <w:color w:val="000000"/>
              </w:rPr>
            </w:pPr>
          </w:p>
          <w:p>
            <w:pPr>
              <w:widowControl/>
              <w:rPr>
                <w:rFonts w:ascii="宋体" w:cs="宋体"/>
                <w:color w:val="000000"/>
              </w:rPr>
            </w:pPr>
            <w:r>
              <w:rPr>
                <w:rFonts w:hint="eastAsia" w:ascii="宋体" w:cs="宋体"/>
                <w:color w:val="000000"/>
              </w:rPr>
              <w:t>1</w:t>
            </w:r>
            <w:r>
              <w:rPr>
                <w:rFonts w:ascii="宋体" w:cs="宋体"/>
                <w:color w:val="000000"/>
              </w:rPr>
              <w:t>0</w:t>
            </w:r>
          </w:p>
          <w:p>
            <w:pPr>
              <w:widowControl/>
              <w:rPr>
                <w:rFonts w:ascii="宋体" w:cs="宋体"/>
                <w:color w:val="000000"/>
              </w:rPr>
            </w:pPr>
          </w:p>
          <w:p>
            <w:pPr>
              <w:widowControl/>
              <w:rPr>
                <w:rFonts w:ascii="宋体" w:cs="宋体"/>
                <w:color w:val="000000"/>
              </w:rPr>
            </w:pPr>
          </w:p>
          <w:p>
            <w:pPr>
              <w:widowControl/>
              <w:rPr>
                <w:rFonts w:ascii="宋体" w:hAnsi="宋体" w:cs="宋体"/>
                <w:color w:val="000000"/>
              </w:rPr>
            </w:pPr>
          </w:p>
        </w:tc>
        <w:tc>
          <w:tcPr>
            <w:tcW w:w="3260" w:type="dxa"/>
            <w:vMerge w:val="restart"/>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基于面板回归和 系统动力学构建新发展下的碳排放测度</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陈斯琳</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19271205</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理学院</w:t>
            </w:r>
          </w:p>
        </w:tc>
      </w:tr>
      <w:tr>
        <w:tblPrEx>
          <w:tblCellMar>
            <w:top w:w="0" w:type="dxa"/>
            <w:left w:w="108" w:type="dxa"/>
            <w:bottom w:w="0" w:type="dxa"/>
            <w:right w:w="108" w:type="dxa"/>
          </w:tblCellMar>
        </w:tblPrEx>
        <w:trPr>
          <w:trHeight w:val="735"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王慧婷</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19291194</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825"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张铮</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20251028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交通运输学院</w:t>
            </w:r>
          </w:p>
        </w:tc>
      </w:tr>
      <w:tr>
        <w:tblPrEx>
          <w:tblCellMar>
            <w:top w:w="0" w:type="dxa"/>
            <w:left w:w="108" w:type="dxa"/>
            <w:bottom w:w="0" w:type="dxa"/>
            <w:right w:w="108" w:type="dxa"/>
          </w:tblCellMar>
        </w:tblPrEx>
        <w:trPr>
          <w:trHeight w:val="720"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cs="宋体"/>
                <w:color w:val="000000"/>
              </w:rPr>
            </w:pPr>
          </w:p>
          <w:p>
            <w:pPr>
              <w:widowControl/>
              <w:rPr>
                <w:rFonts w:ascii="宋体" w:cs="宋体"/>
                <w:color w:val="000000"/>
              </w:rPr>
            </w:pPr>
          </w:p>
          <w:p>
            <w:pPr>
              <w:widowControl/>
              <w:rPr>
                <w:rFonts w:ascii="宋体" w:cs="宋体"/>
                <w:color w:val="000000"/>
              </w:rPr>
            </w:pPr>
            <w:r>
              <w:rPr>
                <w:rFonts w:hint="eastAsia" w:ascii="宋体" w:cs="宋体"/>
                <w:color w:val="000000"/>
              </w:rPr>
              <w:t>1</w:t>
            </w:r>
            <w:r>
              <w:rPr>
                <w:rFonts w:ascii="宋体" w:cs="宋体"/>
                <w:color w:val="000000"/>
              </w:rPr>
              <w:t>1</w:t>
            </w:r>
          </w:p>
          <w:p>
            <w:pPr>
              <w:widowControl/>
              <w:rPr>
                <w:rFonts w:ascii="宋体" w:cs="宋体"/>
                <w:color w:val="000000"/>
              </w:rPr>
            </w:pPr>
          </w:p>
          <w:p>
            <w:pPr>
              <w:widowControl/>
              <w:rPr>
                <w:rFonts w:ascii="宋体" w:cs="宋体"/>
                <w:color w:val="000000"/>
              </w:rPr>
            </w:pPr>
          </w:p>
          <w:p>
            <w:pPr>
              <w:rPr>
                <w:rFonts w:ascii="宋体" w:hAnsi="宋体" w:cs="宋体"/>
                <w:color w:val="000000"/>
              </w:rPr>
            </w:pPr>
          </w:p>
        </w:tc>
        <w:tc>
          <w:tcPr>
            <w:tcW w:w="3260" w:type="dxa"/>
            <w:vMerge w:val="restart"/>
            <w:tcBorders>
              <w:top w:val="single" w:color="auto" w:sz="4" w:space="0"/>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基于结构方程模型线上教学环境的满意度调查（以北京地区为例）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周笑妍</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20281337</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615"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祁仙仙</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20241016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795"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李雯</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rPr>
              <w:t>20241011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bl>
    <w:p>
      <w:pPr>
        <w:spacing w:before="360" w:beforeLines="150" w:after="120" w:afterLines="50"/>
        <w:jc w:val="center"/>
        <w:rPr>
          <w:rFonts w:eastAsia="仿宋_GB2312"/>
        </w:rPr>
      </w:pPr>
    </w:p>
    <w:sectPr>
      <w:headerReference r:id="rId3" w:type="default"/>
      <w:footerReference r:id="rId4" w:type="default"/>
      <w:footerReference r:id="rId5" w:type="even"/>
      <w:type w:val="continuous"/>
      <w:pgSz w:w="11906" w:h="16840"/>
      <w:pgMar w:top="1559" w:right="1678" w:bottom="278" w:left="1678" w:header="720" w:footer="737" w:gutter="0"/>
      <w:pgBorders>
        <w:top w:val="none" w:sz="0" w:space="0"/>
        <w:left w:val="none" w:sz="0" w:space="0"/>
        <w:bottom w:val="none" w:sz="0" w:space="0"/>
        <w:right w:val="none" w:sz="0" w:space="0"/>
      </w:pgBorders>
      <w:pgNumType w:fmt="numberInDash"/>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IDFont+F2">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8546"/>
        <w:tab w:val="clear" w:pos="4153"/>
        <w:tab w:val="clear" w:pos="8306"/>
      </w:tabs>
      <w:wordWrap w:val="0"/>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3 -</w:t>
    </w:r>
    <w:r>
      <w:rPr>
        <w:rFonts w:ascii="宋体" w:hAnsi="宋体"/>
        <w:sz w:val="28"/>
        <w:szCs w:val="28"/>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hideSpellingErrors/>
  <w:hideGrammaticalErrors/>
  <w:documentProtection w:enforcement="0"/>
  <w:defaultTabStop w:val="720"/>
  <w:evenAndOddHeaders w:val="1"/>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yM2FiNzlhOGNhNzUxM2VlMDliNDRlNDZjMjMzNjgifQ=="/>
  </w:docVars>
  <w:rsids>
    <w:rsidRoot w:val="0066196A"/>
    <w:rsid w:val="000054A7"/>
    <w:rsid w:val="0000688B"/>
    <w:rsid w:val="00007AE8"/>
    <w:rsid w:val="00020583"/>
    <w:rsid w:val="00025502"/>
    <w:rsid w:val="00025B78"/>
    <w:rsid w:val="00034B97"/>
    <w:rsid w:val="0004193F"/>
    <w:rsid w:val="00044592"/>
    <w:rsid w:val="000524D5"/>
    <w:rsid w:val="00055D97"/>
    <w:rsid w:val="00060EC7"/>
    <w:rsid w:val="00062063"/>
    <w:rsid w:val="000671C4"/>
    <w:rsid w:val="000762A1"/>
    <w:rsid w:val="000819CF"/>
    <w:rsid w:val="00086E1A"/>
    <w:rsid w:val="000904FF"/>
    <w:rsid w:val="00091AFC"/>
    <w:rsid w:val="00092300"/>
    <w:rsid w:val="00092E5D"/>
    <w:rsid w:val="00094543"/>
    <w:rsid w:val="00096A70"/>
    <w:rsid w:val="000A3A78"/>
    <w:rsid w:val="000B1B93"/>
    <w:rsid w:val="000F5380"/>
    <w:rsid w:val="000F7D74"/>
    <w:rsid w:val="00104513"/>
    <w:rsid w:val="0011187D"/>
    <w:rsid w:val="00117AEB"/>
    <w:rsid w:val="00120F3B"/>
    <w:rsid w:val="001349C1"/>
    <w:rsid w:val="001361EE"/>
    <w:rsid w:val="001621F7"/>
    <w:rsid w:val="0016412A"/>
    <w:rsid w:val="00173B7E"/>
    <w:rsid w:val="0017674F"/>
    <w:rsid w:val="00182DFC"/>
    <w:rsid w:val="0019163A"/>
    <w:rsid w:val="00192B6D"/>
    <w:rsid w:val="001930C5"/>
    <w:rsid w:val="001975F6"/>
    <w:rsid w:val="001A0895"/>
    <w:rsid w:val="001A147F"/>
    <w:rsid w:val="001A152A"/>
    <w:rsid w:val="001A2055"/>
    <w:rsid w:val="001A7ADD"/>
    <w:rsid w:val="001C0739"/>
    <w:rsid w:val="001C2CB3"/>
    <w:rsid w:val="001E7865"/>
    <w:rsid w:val="001F7AE9"/>
    <w:rsid w:val="00206289"/>
    <w:rsid w:val="0020794D"/>
    <w:rsid w:val="00210A10"/>
    <w:rsid w:val="00212A5A"/>
    <w:rsid w:val="00223C78"/>
    <w:rsid w:val="00223CC0"/>
    <w:rsid w:val="00226713"/>
    <w:rsid w:val="00227CF8"/>
    <w:rsid w:val="002438FF"/>
    <w:rsid w:val="0024437D"/>
    <w:rsid w:val="0024591B"/>
    <w:rsid w:val="00253FEF"/>
    <w:rsid w:val="00256896"/>
    <w:rsid w:val="00261465"/>
    <w:rsid w:val="00262A88"/>
    <w:rsid w:val="00264BEB"/>
    <w:rsid w:val="002653F5"/>
    <w:rsid w:val="002671EB"/>
    <w:rsid w:val="002828B9"/>
    <w:rsid w:val="002839B9"/>
    <w:rsid w:val="00284CB8"/>
    <w:rsid w:val="002852AE"/>
    <w:rsid w:val="00295893"/>
    <w:rsid w:val="002A7852"/>
    <w:rsid w:val="002B76D5"/>
    <w:rsid w:val="002C6EE0"/>
    <w:rsid w:val="002F5A2F"/>
    <w:rsid w:val="00306CB4"/>
    <w:rsid w:val="00312157"/>
    <w:rsid w:val="00317AD7"/>
    <w:rsid w:val="00324BBA"/>
    <w:rsid w:val="00331D02"/>
    <w:rsid w:val="0033413C"/>
    <w:rsid w:val="00334EA0"/>
    <w:rsid w:val="0033707B"/>
    <w:rsid w:val="00337ABB"/>
    <w:rsid w:val="00343DE0"/>
    <w:rsid w:val="003504D9"/>
    <w:rsid w:val="003517DA"/>
    <w:rsid w:val="00353331"/>
    <w:rsid w:val="00364CB1"/>
    <w:rsid w:val="003652CE"/>
    <w:rsid w:val="00376BC8"/>
    <w:rsid w:val="0037795E"/>
    <w:rsid w:val="003829C7"/>
    <w:rsid w:val="00385C06"/>
    <w:rsid w:val="0039108C"/>
    <w:rsid w:val="003A24EE"/>
    <w:rsid w:val="003A61BE"/>
    <w:rsid w:val="003B0A38"/>
    <w:rsid w:val="003C09B2"/>
    <w:rsid w:val="003C4F10"/>
    <w:rsid w:val="003D0891"/>
    <w:rsid w:val="003F4784"/>
    <w:rsid w:val="003F57E7"/>
    <w:rsid w:val="0040196A"/>
    <w:rsid w:val="00412399"/>
    <w:rsid w:val="00415FEF"/>
    <w:rsid w:val="004245C3"/>
    <w:rsid w:val="00425CCE"/>
    <w:rsid w:val="004267AB"/>
    <w:rsid w:val="004311B9"/>
    <w:rsid w:val="00436B3B"/>
    <w:rsid w:val="00446FFF"/>
    <w:rsid w:val="004519A0"/>
    <w:rsid w:val="00455187"/>
    <w:rsid w:val="00457CEC"/>
    <w:rsid w:val="00464AF9"/>
    <w:rsid w:val="00474A4C"/>
    <w:rsid w:val="00481909"/>
    <w:rsid w:val="00486674"/>
    <w:rsid w:val="004926A5"/>
    <w:rsid w:val="004927A1"/>
    <w:rsid w:val="00494E1D"/>
    <w:rsid w:val="004B0716"/>
    <w:rsid w:val="004B2005"/>
    <w:rsid w:val="004B605F"/>
    <w:rsid w:val="004C54CD"/>
    <w:rsid w:val="004D43ED"/>
    <w:rsid w:val="004D47A5"/>
    <w:rsid w:val="004D5B20"/>
    <w:rsid w:val="004D66D0"/>
    <w:rsid w:val="004E3731"/>
    <w:rsid w:val="004E46BD"/>
    <w:rsid w:val="004F4AF6"/>
    <w:rsid w:val="004F6255"/>
    <w:rsid w:val="004F771A"/>
    <w:rsid w:val="00505CF8"/>
    <w:rsid w:val="005105DE"/>
    <w:rsid w:val="00511A52"/>
    <w:rsid w:val="00517994"/>
    <w:rsid w:val="0052075A"/>
    <w:rsid w:val="00522FD0"/>
    <w:rsid w:val="00540617"/>
    <w:rsid w:val="005450C3"/>
    <w:rsid w:val="00550ADC"/>
    <w:rsid w:val="00551D31"/>
    <w:rsid w:val="005645B3"/>
    <w:rsid w:val="0058343E"/>
    <w:rsid w:val="00585879"/>
    <w:rsid w:val="005867EC"/>
    <w:rsid w:val="005A451E"/>
    <w:rsid w:val="005A69C7"/>
    <w:rsid w:val="005B48E4"/>
    <w:rsid w:val="005C0928"/>
    <w:rsid w:val="005C324C"/>
    <w:rsid w:val="005C7582"/>
    <w:rsid w:val="005D1E54"/>
    <w:rsid w:val="005E3498"/>
    <w:rsid w:val="005E63F1"/>
    <w:rsid w:val="005F4B9F"/>
    <w:rsid w:val="005F7B48"/>
    <w:rsid w:val="00600211"/>
    <w:rsid w:val="006019E9"/>
    <w:rsid w:val="006063B3"/>
    <w:rsid w:val="00606F7C"/>
    <w:rsid w:val="006153C9"/>
    <w:rsid w:val="00620FED"/>
    <w:rsid w:val="0062208A"/>
    <w:rsid w:val="00625FE7"/>
    <w:rsid w:val="00631353"/>
    <w:rsid w:val="00643552"/>
    <w:rsid w:val="00644817"/>
    <w:rsid w:val="00647019"/>
    <w:rsid w:val="00654883"/>
    <w:rsid w:val="00654F62"/>
    <w:rsid w:val="00657773"/>
    <w:rsid w:val="0066196A"/>
    <w:rsid w:val="0066576C"/>
    <w:rsid w:val="0066637C"/>
    <w:rsid w:val="0067426C"/>
    <w:rsid w:val="0067738A"/>
    <w:rsid w:val="00677448"/>
    <w:rsid w:val="00677D80"/>
    <w:rsid w:val="00685754"/>
    <w:rsid w:val="00694B93"/>
    <w:rsid w:val="00695A0D"/>
    <w:rsid w:val="006A5738"/>
    <w:rsid w:val="006B39A1"/>
    <w:rsid w:val="006C7C48"/>
    <w:rsid w:val="006D1371"/>
    <w:rsid w:val="006D5744"/>
    <w:rsid w:val="006E160E"/>
    <w:rsid w:val="006E4866"/>
    <w:rsid w:val="006F1E9B"/>
    <w:rsid w:val="006F6117"/>
    <w:rsid w:val="0070553E"/>
    <w:rsid w:val="007076F3"/>
    <w:rsid w:val="0071304F"/>
    <w:rsid w:val="00721A66"/>
    <w:rsid w:val="007225F7"/>
    <w:rsid w:val="00723178"/>
    <w:rsid w:val="007303B0"/>
    <w:rsid w:val="00734A16"/>
    <w:rsid w:val="00743548"/>
    <w:rsid w:val="00754CA6"/>
    <w:rsid w:val="00755305"/>
    <w:rsid w:val="00770267"/>
    <w:rsid w:val="00783EAA"/>
    <w:rsid w:val="007910FD"/>
    <w:rsid w:val="00792966"/>
    <w:rsid w:val="00794322"/>
    <w:rsid w:val="007A0A7E"/>
    <w:rsid w:val="007A354A"/>
    <w:rsid w:val="007A3873"/>
    <w:rsid w:val="007B2E01"/>
    <w:rsid w:val="007B2F91"/>
    <w:rsid w:val="007B33BC"/>
    <w:rsid w:val="007B4F57"/>
    <w:rsid w:val="007C6B93"/>
    <w:rsid w:val="007C7A66"/>
    <w:rsid w:val="007D72AE"/>
    <w:rsid w:val="007D7D4D"/>
    <w:rsid w:val="007D7E54"/>
    <w:rsid w:val="007F47CF"/>
    <w:rsid w:val="007F7587"/>
    <w:rsid w:val="00800B63"/>
    <w:rsid w:val="00801658"/>
    <w:rsid w:val="008034A6"/>
    <w:rsid w:val="008036AC"/>
    <w:rsid w:val="00803EB2"/>
    <w:rsid w:val="008060DA"/>
    <w:rsid w:val="0080652F"/>
    <w:rsid w:val="00826125"/>
    <w:rsid w:val="00831D74"/>
    <w:rsid w:val="008371AB"/>
    <w:rsid w:val="008372AD"/>
    <w:rsid w:val="00842DE4"/>
    <w:rsid w:val="00851155"/>
    <w:rsid w:val="008550D8"/>
    <w:rsid w:val="0086159F"/>
    <w:rsid w:val="00863DA0"/>
    <w:rsid w:val="00874904"/>
    <w:rsid w:val="00874F94"/>
    <w:rsid w:val="00875E39"/>
    <w:rsid w:val="008864B3"/>
    <w:rsid w:val="00886CE7"/>
    <w:rsid w:val="00897E4E"/>
    <w:rsid w:val="008A161D"/>
    <w:rsid w:val="008A389F"/>
    <w:rsid w:val="008A6DB7"/>
    <w:rsid w:val="008C1D3B"/>
    <w:rsid w:val="008C6107"/>
    <w:rsid w:val="008C7872"/>
    <w:rsid w:val="008D0927"/>
    <w:rsid w:val="008D0BD1"/>
    <w:rsid w:val="008D3632"/>
    <w:rsid w:val="008D43DA"/>
    <w:rsid w:val="008D5B3B"/>
    <w:rsid w:val="008D668C"/>
    <w:rsid w:val="008D696A"/>
    <w:rsid w:val="008E2891"/>
    <w:rsid w:val="008E67DE"/>
    <w:rsid w:val="008F0570"/>
    <w:rsid w:val="008F59ED"/>
    <w:rsid w:val="0090133D"/>
    <w:rsid w:val="00901ED0"/>
    <w:rsid w:val="00902A6B"/>
    <w:rsid w:val="0090478A"/>
    <w:rsid w:val="0091112A"/>
    <w:rsid w:val="00911CC5"/>
    <w:rsid w:val="00914B28"/>
    <w:rsid w:val="009201AB"/>
    <w:rsid w:val="00923C20"/>
    <w:rsid w:val="009414AC"/>
    <w:rsid w:val="00942003"/>
    <w:rsid w:val="00945BF5"/>
    <w:rsid w:val="00950687"/>
    <w:rsid w:val="00951DEB"/>
    <w:rsid w:val="009644C6"/>
    <w:rsid w:val="00967370"/>
    <w:rsid w:val="009709FB"/>
    <w:rsid w:val="009849CE"/>
    <w:rsid w:val="009871BA"/>
    <w:rsid w:val="00992AE0"/>
    <w:rsid w:val="009957F1"/>
    <w:rsid w:val="00996A9B"/>
    <w:rsid w:val="009A36DB"/>
    <w:rsid w:val="009A694B"/>
    <w:rsid w:val="009B42C7"/>
    <w:rsid w:val="009B58C1"/>
    <w:rsid w:val="009B5F93"/>
    <w:rsid w:val="009B7E5D"/>
    <w:rsid w:val="009C16FC"/>
    <w:rsid w:val="009C1B16"/>
    <w:rsid w:val="009C37D0"/>
    <w:rsid w:val="009C54FA"/>
    <w:rsid w:val="009D16C3"/>
    <w:rsid w:val="009D54AF"/>
    <w:rsid w:val="009E22CD"/>
    <w:rsid w:val="009E474F"/>
    <w:rsid w:val="009E5D54"/>
    <w:rsid w:val="009E726F"/>
    <w:rsid w:val="009E789A"/>
    <w:rsid w:val="009F0BF6"/>
    <w:rsid w:val="009F52A7"/>
    <w:rsid w:val="00A00D76"/>
    <w:rsid w:val="00A024F3"/>
    <w:rsid w:val="00A02DC5"/>
    <w:rsid w:val="00A23AAF"/>
    <w:rsid w:val="00A2439E"/>
    <w:rsid w:val="00A3124C"/>
    <w:rsid w:val="00A35D03"/>
    <w:rsid w:val="00A47698"/>
    <w:rsid w:val="00A51A8D"/>
    <w:rsid w:val="00A5550A"/>
    <w:rsid w:val="00A556FD"/>
    <w:rsid w:val="00A673E3"/>
    <w:rsid w:val="00A67EF3"/>
    <w:rsid w:val="00A72A87"/>
    <w:rsid w:val="00A85801"/>
    <w:rsid w:val="00A91929"/>
    <w:rsid w:val="00AA0F41"/>
    <w:rsid w:val="00AA3A15"/>
    <w:rsid w:val="00AA55E2"/>
    <w:rsid w:val="00AA6409"/>
    <w:rsid w:val="00AB139D"/>
    <w:rsid w:val="00AB5721"/>
    <w:rsid w:val="00AC2FF5"/>
    <w:rsid w:val="00AC3387"/>
    <w:rsid w:val="00AD217F"/>
    <w:rsid w:val="00AE4404"/>
    <w:rsid w:val="00AE7FF5"/>
    <w:rsid w:val="00AF245C"/>
    <w:rsid w:val="00B07C41"/>
    <w:rsid w:val="00B10E95"/>
    <w:rsid w:val="00B21FDF"/>
    <w:rsid w:val="00B22217"/>
    <w:rsid w:val="00B33E32"/>
    <w:rsid w:val="00B52981"/>
    <w:rsid w:val="00B6194E"/>
    <w:rsid w:val="00B67762"/>
    <w:rsid w:val="00B70314"/>
    <w:rsid w:val="00B72D1A"/>
    <w:rsid w:val="00B747C2"/>
    <w:rsid w:val="00B764E2"/>
    <w:rsid w:val="00B85141"/>
    <w:rsid w:val="00B96D05"/>
    <w:rsid w:val="00BA0DC6"/>
    <w:rsid w:val="00BA2745"/>
    <w:rsid w:val="00BA6575"/>
    <w:rsid w:val="00BB0B2D"/>
    <w:rsid w:val="00BB1E33"/>
    <w:rsid w:val="00BB4EFF"/>
    <w:rsid w:val="00BB6FCB"/>
    <w:rsid w:val="00BC5C37"/>
    <w:rsid w:val="00BC6231"/>
    <w:rsid w:val="00BD145C"/>
    <w:rsid w:val="00BD4E9B"/>
    <w:rsid w:val="00BD5CEA"/>
    <w:rsid w:val="00BD6248"/>
    <w:rsid w:val="00BE6D60"/>
    <w:rsid w:val="00BF098D"/>
    <w:rsid w:val="00BF244A"/>
    <w:rsid w:val="00BF2F59"/>
    <w:rsid w:val="00BF6759"/>
    <w:rsid w:val="00C01E1F"/>
    <w:rsid w:val="00C05661"/>
    <w:rsid w:val="00C20A67"/>
    <w:rsid w:val="00C21B6F"/>
    <w:rsid w:val="00C232EB"/>
    <w:rsid w:val="00C353E0"/>
    <w:rsid w:val="00C36802"/>
    <w:rsid w:val="00C37370"/>
    <w:rsid w:val="00C42CFF"/>
    <w:rsid w:val="00C50FA5"/>
    <w:rsid w:val="00C51B44"/>
    <w:rsid w:val="00C53A76"/>
    <w:rsid w:val="00C544B9"/>
    <w:rsid w:val="00C66E60"/>
    <w:rsid w:val="00C717D3"/>
    <w:rsid w:val="00C71D24"/>
    <w:rsid w:val="00C74738"/>
    <w:rsid w:val="00C748DA"/>
    <w:rsid w:val="00C8565E"/>
    <w:rsid w:val="00C9571C"/>
    <w:rsid w:val="00C9654D"/>
    <w:rsid w:val="00C96740"/>
    <w:rsid w:val="00C97C2F"/>
    <w:rsid w:val="00CA094B"/>
    <w:rsid w:val="00CA1232"/>
    <w:rsid w:val="00CA7166"/>
    <w:rsid w:val="00CB00E6"/>
    <w:rsid w:val="00CB0972"/>
    <w:rsid w:val="00CB2868"/>
    <w:rsid w:val="00CC1932"/>
    <w:rsid w:val="00CC3EC0"/>
    <w:rsid w:val="00CC4F7C"/>
    <w:rsid w:val="00CC69F0"/>
    <w:rsid w:val="00CD21F8"/>
    <w:rsid w:val="00CD44E6"/>
    <w:rsid w:val="00CD74E1"/>
    <w:rsid w:val="00CE1006"/>
    <w:rsid w:val="00CE19BC"/>
    <w:rsid w:val="00CE2686"/>
    <w:rsid w:val="00CE4B17"/>
    <w:rsid w:val="00CE66FB"/>
    <w:rsid w:val="00CE678B"/>
    <w:rsid w:val="00CF2ED9"/>
    <w:rsid w:val="00CF5E21"/>
    <w:rsid w:val="00CF65EE"/>
    <w:rsid w:val="00CF7E0A"/>
    <w:rsid w:val="00D05042"/>
    <w:rsid w:val="00D13059"/>
    <w:rsid w:val="00D15147"/>
    <w:rsid w:val="00D21461"/>
    <w:rsid w:val="00D32E87"/>
    <w:rsid w:val="00D339A9"/>
    <w:rsid w:val="00D37E2B"/>
    <w:rsid w:val="00D5340B"/>
    <w:rsid w:val="00D62B02"/>
    <w:rsid w:val="00D64E13"/>
    <w:rsid w:val="00D66E1D"/>
    <w:rsid w:val="00D71786"/>
    <w:rsid w:val="00D736CC"/>
    <w:rsid w:val="00D74B16"/>
    <w:rsid w:val="00D750A2"/>
    <w:rsid w:val="00D85AFF"/>
    <w:rsid w:val="00D87DC3"/>
    <w:rsid w:val="00D93191"/>
    <w:rsid w:val="00D938D4"/>
    <w:rsid w:val="00DA111E"/>
    <w:rsid w:val="00DA7F57"/>
    <w:rsid w:val="00DC37B6"/>
    <w:rsid w:val="00DC794B"/>
    <w:rsid w:val="00DD04CB"/>
    <w:rsid w:val="00DD04D0"/>
    <w:rsid w:val="00DD46F1"/>
    <w:rsid w:val="00DD4D7A"/>
    <w:rsid w:val="00DF2A2B"/>
    <w:rsid w:val="00DF57B7"/>
    <w:rsid w:val="00E02089"/>
    <w:rsid w:val="00E06811"/>
    <w:rsid w:val="00E076C9"/>
    <w:rsid w:val="00E11C4D"/>
    <w:rsid w:val="00E166A2"/>
    <w:rsid w:val="00E16CD4"/>
    <w:rsid w:val="00E207D6"/>
    <w:rsid w:val="00E27B53"/>
    <w:rsid w:val="00E31E2F"/>
    <w:rsid w:val="00E342BA"/>
    <w:rsid w:val="00E414D2"/>
    <w:rsid w:val="00E43154"/>
    <w:rsid w:val="00E4744C"/>
    <w:rsid w:val="00E513A6"/>
    <w:rsid w:val="00E52762"/>
    <w:rsid w:val="00E53612"/>
    <w:rsid w:val="00E64FDE"/>
    <w:rsid w:val="00E70121"/>
    <w:rsid w:val="00E70643"/>
    <w:rsid w:val="00E75991"/>
    <w:rsid w:val="00E767A2"/>
    <w:rsid w:val="00E767E2"/>
    <w:rsid w:val="00E76C38"/>
    <w:rsid w:val="00E80D31"/>
    <w:rsid w:val="00E815B5"/>
    <w:rsid w:val="00E871FA"/>
    <w:rsid w:val="00E9280D"/>
    <w:rsid w:val="00E93D7B"/>
    <w:rsid w:val="00E96A99"/>
    <w:rsid w:val="00EA11FA"/>
    <w:rsid w:val="00EB1E2C"/>
    <w:rsid w:val="00EC498A"/>
    <w:rsid w:val="00ED0093"/>
    <w:rsid w:val="00ED0243"/>
    <w:rsid w:val="00ED079E"/>
    <w:rsid w:val="00ED2452"/>
    <w:rsid w:val="00ED348F"/>
    <w:rsid w:val="00EE597E"/>
    <w:rsid w:val="00EF27B9"/>
    <w:rsid w:val="00EF598A"/>
    <w:rsid w:val="00EF5A82"/>
    <w:rsid w:val="00F0245C"/>
    <w:rsid w:val="00F02664"/>
    <w:rsid w:val="00F06123"/>
    <w:rsid w:val="00F07843"/>
    <w:rsid w:val="00F16B0A"/>
    <w:rsid w:val="00F16BE7"/>
    <w:rsid w:val="00F20D7D"/>
    <w:rsid w:val="00F270B8"/>
    <w:rsid w:val="00F3102A"/>
    <w:rsid w:val="00F320AE"/>
    <w:rsid w:val="00F34D82"/>
    <w:rsid w:val="00F36EC7"/>
    <w:rsid w:val="00F43CEC"/>
    <w:rsid w:val="00F47E90"/>
    <w:rsid w:val="00F539F2"/>
    <w:rsid w:val="00F66FD4"/>
    <w:rsid w:val="00F67CB1"/>
    <w:rsid w:val="00F73189"/>
    <w:rsid w:val="00F87C5B"/>
    <w:rsid w:val="00F930C6"/>
    <w:rsid w:val="00F938AE"/>
    <w:rsid w:val="00F96161"/>
    <w:rsid w:val="00F97F57"/>
    <w:rsid w:val="00FB3D2C"/>
    <w:rsid w:val="00FB6063"/>
    <w:rsid w:val="00FD10C9"/>
    <w:rsid w:val="00FD68DB"/>
    <w:rsid w:val="00FE3164"/>
    <w:rsid w:val="00FE450F"/>
    <w:rsid w:val="00FF251D"/>
    <w:rsid w:val="00FF2A5B"/>
    <w:rsid w:val="00FF7202"/>
    <w:rsid w:val="48C12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2"/>
    <w:qFormat/>
    <w:uiPriority w:val="0"/>
    <w:pPr>
      <w:ind w:left="219"/>
    </w:pPr>
    <w:rPr>
      <w:lang w:val="zh-CN" w:eastAsia="zh-CN"/>
    </w:rPr>
  </w:style>
  <w:style w:type="paragraph" w:styleId="3">
    <w:name w:val="Date"/>
    <w:basedOn w:val="1"/>
    <w:next w:val="1"/>
    <w:link w:val="20"/>
    <w:unhideWhenUsed/>
    <w:uiPriority w:val="0"/>
    <w:pPr>
      <w:ind w:left="100" w:leftChars="2500"/>
    </w:pPr>
  </w:style>
  <w:style w:type="paragraph" w:styleId="4">
    <w:name w:val="Body Text Indent 2"/>
    <w:basedOn w:val="1"/>
    <w:uiPriority w:val="0"/>
    <w:pPr>
      <w:autoSpaceDE/>
      <w:autoSpaceDN/>
      <w:adjustRightInd/>
      <w:spacing w:after="120" w:line="480" w:lineRule="auto"/>
      <w:ind w:left="420" w:leftChars="200"/>
      <w:jc w:val="both"/>
    </w:pPr>
    <w:rPr>
      <w:kern w:val="2"/>
      <w:sz w:val="21"/>
    </w:rPr>
  </w:style>
  <w:style w:type="paragraph" w:styleId="5">
    <w:name w:val="footer"/>
    <w:basedOn w:val="1"/>
    <w:link w:val="16"/>
    <w:unhideWhenUsed/>
    <w:uiPriority w:val="0"/>
    <w:pPr>
      <w:tabs>
        <w:tab w:val="center" w:pos="4153"/>
        <w:tab w:val="right" w:pos="8306"/>
      </w:tabs>
      <w:snapToGrid w:val="0"/>
    </w:pPr>
    <w:rPr>
      <w:sz w:val="18"/>
      <w:szCs w:val="18"/>
      <w:lang w:val="zh-CN" w:eastAsia="zh-CN"/>
    </w:rPr>
  </w:style>
  <w:style w:type="paragraph" w:styleId="6">
    <w:name w:val="header"/>
    <w:basedOn w:val="1"/>
    <w:link w:val="15"/>
    <w:unhideWhenUsed/>
    <w:uiPriority w:val="0"/>
    <w:pPr>
      <w:pBdr>
        <w:bottom w:val="single" w:color="auto" w:sz="6" w:space="1"/>
      </w:pBdr>
      <w:tabs>
        <w:tab w:val="center" w:pos="4153"/>
        <w:tab w:val="right" w:pos="8306"/>
      </w:tabs>
      <w:snapToGrid w:val="0"/>
      <w:jc w:val="center"/>
    </w:pPr>
    <w:rPr>
      <w:sz w:val="18"/>
      <w:szCs w:val="18"/>
      <w:lang w:val="zh-CN" w:eastAsia="zh-CN"/>
    </w:rPr>
  </w:style>
  <w:style w:type="table" w:styleId="8">
    <w:name w:val="Table Grid"/>
    <w:basedOn w:val="7"/>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semiHidden/>
    <w:unhideWhenUsed/>
    <w:uiPriority w:val="99"/>
    <w:rPr>
      <w:color w:val="954F72"/>
      <w:u w:val="single"/>
    </w:rPr>
  </w:style>
  <w:style w:type="character" w:styleId="11">
    <w:name w:val="Hyperlink"/>
    <w:uiPriority w:val="0"/>
    <w:rPr>
      <w:color w:val="0000FF"/>
      <w:u w:val="single"/>
    </w:rPr>
  </w:style>
  <w:style w:type="character" w:customStyle="1" w:styleId="12">
    <w:name w:val="正文文本 字符"/>
    <w:link w:val="2"/>
    <w:locked/>
    <w:uiPriority w:val="0"/>
    <w:rPr>
      <w:rFonts w:ascii="Times New Roman" w:hAnsi="Times New Roman" w:cs="Times New Roman"/>
      <w:kern w:val="0"/>
      <w:sz w:val="24"/>
      <w:szCs w:val="24"/>
    </w:rPr>
  </w:style>
  <w:style w:type="paragraph" w:styleId="13">
    <w:name w:val="List Paragraph"/>
    <w:basedOn w:val="1"/>
    <w:qFormat/>
    <w:uiPriority w:val="1"/>
  </w:style>
  <w:style w:type="paragraph" w:customStyle="1" w:styleId="14">
    <w:name w:val="Table Paragraph"/>
    <w:basedOn w:val="1"/>
    <w:qFormat/>
    <w:uiPriority w:val="1"/>
  </w:style>
  <w:style w:type="character" w:customStyle="1" w:styleId="15">
    <w:name w:val="页眉 字符"/>
    <w:link w:val="6"/>
    <w:locked/>
    <w:uiPriority w:val="0"/>
    <w:rPr>
      <w:rFonts w:ascii="Times New Roman" w:hAnsi="Times New Roman" w:cs="Times New Roman"/>
      <w:kern w:val="0"/>
      <w:sz w:val="18"/>
      <w:szCs w:val="18"/>
    </w:rPr>
  </w:style>
  <w:style w:type="character" w:customStyle="1" w:styleId="16">
    <w:name w:val="页脚 字符"/>
    <w:link w:val="5"/>
    <w:locked/>
    <w:uiPriority w:val="0"/>
    <w:rPr>
      <w:rFonts w:ascii="Times New Roman" w:hAnsi="Times New Roman" w:cs="Times New Roman"/>
      <w:kern w:val="0"/>
      <w:sz w:val="18"/>
      <w:szCs w:val="18"/>
    </w:rPr>
  </w:style>
  <w:style w:type="paragraph" w:customStyle="1" w:styleId="17">
    <w:name w:val="列出段落1"/>
    <w:basedOn w:val="1"/>
    <w:uiPriority w:val="0"/>
    <w:pPr>
      <w:autoSpaceDE/>
      <w:autoSpaceDN/>
      <w:adjustRightInd/>
      <w:ind w:firstLine="420" w:firstLineChars="200"/>
      <w:jc w:val="both"/>
    </w:pPr>
    <w:rPr>
      <w:rFonts w:ascii="Calibri" w:hAnsi="Calibri" w:cs="Calibri"/>
      <w:kern w:val="2"/>
      <w:sz w:val="21"/>
      <w:szCs w:val="21"/>
    </w:rPr>
  </w:style>
  <w:style w:type="paragraph" w:customStyle="1" w:styleId="18">
    <w:name w:val="列出段落2"/>
    <w:basedOn w:val="1"/>
    <w:qFormat/>
    <w:uiPriority w:val="0"/>
    <w:pPr>
      <w:autoSpaceDE/>
      <w:autoSpaceDN/>
      <w:adjustRightInd/>
      <w:ind w:firstLine="420" w:firstLineChars="200"/>
      <w:jc w:val="both"/>
    </w:pPr>
    <w:rPr>
      <w:rFonts w:ascii="Calibri" w:hAnsi="Calibri" w:cs="Calibri"/>
      <w:kern w:val="2"/>
      <w:sz w:val="21"/>
      <w:szCs w:val="21"/>
    </w:rPr>
  </w:style>
  <w:style w:type="paragraph" w:customStyle="1" w:styleId="19">
    <w:name w:val="标题1"/>
    <w:basedOn w:val="1"/>
    <w:uiPriority w:val="0"/>
    <w:pPr>
      <w:widowControl/>
      <w:autoSpaceDE/>
      <w:autoSpaceDN/>
      <w:adjustRightInd/>
      <w:spacing w:before="100" w:beforeAutospacing="1" w:after="100" w:afterAutospacing="1" w:line="340" w:lineRule="atLeast"/>
    </w:pPr>
    <w:rPr>
      <w:rFonts w:ascii="宋体" w:hAnsi="宋体" w:cs="宋体"/>
    </w:rPr>
  </w:style>
  <w:style w:type="character" w:customStyle="1" w:styleId="20">
    <w:name w:val="日期 字符"/>
    <w:link w:val="3"/>
    <w:semiHidden/>
    <w:uiPriority w:val="99"/>
    <w:rPr>
      <w:rFonts w:ascii="Times New Roman" w:hAnsi="Times New Roman"/>
      <w:sz w:val="24"/>
      <w:szCs w:val="24"/>
    </w:rPr>
  </w:style>
  <w:style w:type="character" w:customStyle="1" w:styleId="21">
    <w:name w:val="Unresolved Mention"/>
    <w:basedOn w:val="9"/>
    <w:semiHidden/>
    <w:unhideWhenUsed/>
    <w:uiPriority w:val="99"/>
    <w:rPr>
      <w:color w:val="605E5C"/>
      <w:shd w:val="clear" w:color="auto" w:fill="E1DFDD"/>
    </w:rPr>
  </w:style>
  <w:style w:type="paragraph" w:customStyle="1" w:styleId="22">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4CAB4D-6116-4722-AFC3-DB4309AE1C3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1612</Words>
  <Characters>2176</Characters>
  <Lines>19</Lines>
  <Paragraphs>5</Paragraphs>
  <TotalTime>0</TotalTime>
  <ScaleCrop>false</ScaleCrop>
  <LinksUpToDate>false</LinksUpToDate>
  <CharactersWithSpaces>2254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2019-09-03T00:16:00Z</dcterms:created>
  <dc:creator>User</dc:creator>
  <cp:lastModifiedBy>Colin</cp:lastModifiedBy>
  <cp:lastPrinted>2015-01-12T01:38:00Z</cp:lastPrinted>
  <dcterms:modified xsi:type="dcterms:W3CDTF">2022-05-13T09:14:46Z</dcterms:modified>
  <dc:title>北京交通大学部处函件（线上细下粗）3000份</dc:title>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3D97ED57B15D4CA2ABBB32F4975EA059</vt:lpwstr>
  </property>
</Properties>
</file>